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1B47" w:rsidRPr="00465625" w:rsidRDefault="00E21B47" w:rsidP="00E21B47">
      <w:pPr>
        <w:spacing w:line="360" w:lineRule="auto"/>
        <w:jc w:val="center"/>
        <w:rPr>
          <w:rFonts w:ascii="方正小标宋_GBK" w:eastAsia="方正小标宋_GBK"/>
          <w:sz w:val="44"/>
          <w:szCs w:val="44"/>
        </w:rPr>
      </w:pPr>
      <w:r w:rsidRPr="00465625">
        <w:rPr>
          <w:rFonts w:ascii="方正小标宋_GBK" w:eastAsia="方正小标宋_GBK" w:hint="eastAsia"/>
          <w:sz w:val="44"/>
          <w:szCs w:val="44"/>
        </w:rPr>
        <w:t>2021年重庆市医疗器械不良事件监测</w:t>
      </w:r>
    </w:p>
    <w:p w:rsidR="00E21B47" w:rsidRPr="00465625" w:rsidRDefault="00E21B47" w:rsidP="00E21B47">
      <w:pPr>
        <w:spacing w:line="360" w:lineRule="auto"/>
        <w:jc w:val="center"/>
        <w:rPr>
          <w:rFonts w:ascii="方正小标宋_GBK" w:eastAsia="方正小标宋_GBK"/>
          <w:sz w:val="44"/>
          <w:szCs w:val="44"/>
        </w:rPr>
      </w:pPr>
      <w:r w:rsidRPr="00465625">
        <w:rPr>
          <w:rFonts w:ascii="方正小标宋_GBK" w:eastAsia="方正小标宋_GBK" w:hint="eastAsia"/>
          <w:sz w:val="44"/>
          <w:szCs w:val="44"/>
        </w:rPr>
        <w:t>年度报告</w:t>
      </w:r>
    </w:p>
    <w:p w:rsidR="00E21B47" w:rsidRPr="006414D2" w:rsidRDefault="00E21B47" w:rsidP="00E21B47">
      <w:pPr>
        <w:spacing w:line="360" w:lineRule="auto"/>
        <w:jc w:val="center"/>
        <w:rPr>
          <w:rFonts w:ascii="黑体" w:eastAsia="黑体"/>
          <w:b/>
          <w:sz w:val="48"/>
          <w:szCs w:val="48"/>
        </w:rPr>
      </w:pPr>
    </w:p>
    <w:p w:rsidR="00E21B47" w:rsidRPr="000A18BA" w:rsidRDefault="000A18BA" w:rsidP="000A18BA">
      <w:pPr>
        <w:spacing w:line="360" w:lineRule="auto"/>
        <w:ind w:firstLineChars="200" w:firstLine="640"/>
        <w:rPr>
          <w:rFonts w:ascii="方正黑体_GBK" w:eastAsia="方正黑体_GBK"/>
          <w:sz w:val="32"/>
          <w:szCs w:val="32"/>
        </w:rPr>
      </w:pPr>
      <w:r w:rsidRPr="00465625">
        <w:rPr>
          <w:rFonts w:ascii="方正黑体_GBK" w:eastAsia="方正黑体_GBK" w:hint="eastAsia"/>
          <w:sz w:val="32"/>
          <w:szCs w:val="32"/>
        </w:rPr>
        <w:t>一、</w:t>
      </w:r>
      <w:r w:rsidR="00E21B47" w:rsidRPr="000A18BA">
        <w:rPr>
          <w:rFonts w:ascii="方正黑体_GBK" w:eastAsia="方正黑体_GBK" w:hint="eastAsia"/>
          <w:sz w:val="32"/>
          <w:szCs w:val="32"/>
        </w:rPr>
        <w:t>2021年全市医疗器械不良事件报告概况</w:t>
      </w:r>
    </w:p>
    <w:p w:rsidR="00E21B47" w:rsidRPr="00303EC0" w:rsidRDefault="000A18BA" w:rsidP="00303EC0">
      <w:pPr>
        <w:spacing w:line="360" w:lineRule="auto"/>
        <w:ind w:firstLineChars="200" w:firstLine="640"/>
        <w:rPr>
          <w:rFonts w:ascii="方正楷体_GBK" w:eastAsia="方正楷体_GBK"/>
          <w:sz w:val="32"/>
          <w:szCs w:val="32"/>
        </w:rPr>
      </w:pPr>
      <w:r w:rsidRPr="00303EC0">
        <w:rPr>
          <w:rFonts w:ascii="方正楷体_GBK" w:eastAsia="方正楷体_GBK" w:hint="eastAsia"/>
          <w:sz w:val="32"/>
          <w:szCs w:val="32"/>
        </w:rPr>
        <w:t>1</w:t>
      </w:r>
      <w:r w:rsidR="00E21B47" w:rsidRPr="00303EC0">
        <w:rPr>
          <w:rFonts w:ascii="方正楷体_GBK" w:eastAsia="方正楷体_GBK" w:hint="eastAsia"/>
          <w:sz w:val="32"/>
          <w:szCs w:val="32"/>
        </w:rPr>
        <w:t>、2021年医疗器械不良事件报告总体概况</w:t>
      </w:r>
    </w:p>
    <w:p w:rsidR="00F524F6" w:rsidRDefault="00E21B47" w:rsidP="00F524F6">
      <w:pPr>
        <w:spacing w:line="360" w:lineRule="auto"/>
        <w:ind w:firstLineChars="200" w:firstLine="640"/>
        <w:rPr>
          <w:rFonts w:ascii="方正仿宋_GBK" w:eastAsia="方正仿宋_GBK"/>
          <w:color w:val="FF0000"/>
          <w:sz w:val="32"/>
        </w:rPr>
      </w:pPr>
      <w:r w:rsidRPr="00465625">
        <w:rPr>
          <w:rFonts w:ascii="方正仿宋_GBK" w:eastAsia="方正仿宋_GBK" w:hint="eastAsia"/>
          <w:sz w:val="32"/>
        </w:rPr>
        <w:t>2021年全国医疗器械不良事件监测系统收到我市基层单</w:t>
      </w:r>
      <w:r w:rsidRPr="004538AB">
        <w:rPr>
          <w:rFonts w:ascii="方正仿宋_GBK" w:eastAsia="方正仿宋_GBK" w:hint="eastAsia"/>
          <w:sz w:val="32"/>
        </w:rPr>
        <w:t>位报告的《可疑医疗器械不良事件报告表》共计11298份（不包</w:t>
      </w:r>
      <w:r w:rsidRPr="00D34191">
        <w:rPr>
          <w:rFonts w:ascii="方正仿宋_GBK" w:eastAsia="方正仿宋_GBK" w:hint="eastAsia"/>
          <w:sz w:val="32"/>
        </w:rPr>
        <w:t>含审核未通过的报告）。同时，收到全国涉及我市医疗器械注册人/备案人（生产企业）的报告</w:t>
      </w:r>
      <w:r w:rsidR="005327F3">
        <w:rPr>
          <w:rFonts w:ascii="方正仿宋_GBK" w:eastAsia="方正仿宋_GBK" w:hint="eastAsia"/>
          <w:sz w:val="32"/>
        </w:rPr>
        <w:t>727</w:t>
      </w:r>
      <w:r w:rsidR="006E04F1">
        <w:rPr>
          <w:rFonts w:ascii="方正仿宋_GBK" w:eastAsia="方正仿宋_GBK" w:hint="eastAsia"/>
          <w:sz w:val="32"/>
        </w:rPr>
        <w:t>7</w:t>
      </w:r>
      <w:r w:rsidRPr="00D34191">
        <w:rPr>
          <w:rFonts w:ascii="方正仿宋_GBK" w:eastAsia="方正仿宋_GBK" w:hint="eastAsia"/>
          <w:sz w:val="32"/>
        </w:rPr>
        <w:t>份，注册人提交定期风</w:t>
      </w:r>
      <w:r w:rsidRPr="004F15D5">
        <w:rPr>
          <w:rFonts w:ascii="方正仿宋_GBK" w:eastAsia="方正仿宋_GBK" w:hint="eastAsia"/>
          <w:sz w:val="32"/>
        </w:rPr>
        <w:t>险评</w:t>
      </w:r>
      <w:r w:rsidRPr="00DF6897">
        <w:rPr>
          <w:rFonts w:ascii="方正仿宋_GBK" w:eastAsia="方正仿宋_GBK" w:hint="eastAsia"/>
          <w:sz w:val="32"/>
        </w:rPr>
        <w:t>价报告</w:t>
      </w:r>
      <w:r w:rsidR="004F15D5" w:rsidRPr="00DF6897">
        <w:rPr>
          <w:rFonts w:ascii="方正仿宋_GBK" w:eastAsia="方正仿宋_GBK" w:hint="eastAsia"/>
          <w:sz w:val="32"/>
        </w:rPr>
        <w:t>801</w:t>
      </w:r>
      <w:r w:rsidRPr="00DF6897">
        <w:rPr>
          <w:rFonts w:ascii="方正仿宋_GBK" w:eastAsia="方正仿宋_GBK" w:hint="eastAsia"/>
          <w:sz w:val="32"/>
        </w:rPr>
        <w:t>份。</w:t>
      </w:r>
    </w:p>
    <w:p w:rsidR="00FB3107" w:rsidRDefault="00FB3107" w:rsidP="00FB3107">
      <w:pPr>
        <w:widowControl/>
        <w:jc w:val="left"/>
        <w:rPr>
          <w:rFonts w:ascii="宋体" w:hAnsi="宋体" w:cs="宋体"/>
          <w:noProof/>
          <w:kern w:val="0"/>
          <w:sz w:val="24"/>
        </w:rPr>
      </w:pPr>
    </w:p>
    <w:p w:rsidR="003E7FF8" w:rsidRDefault="003E7FF8" w:rsidP="00FB3107">
      <w:pPr>
        <w:widowControl/>
        <w:jc w:val="left"/>
        <w:rPr>
          <w:rFonts w:ascii="宋体" w:hAnsi="宋体" w:cs="宋体"/>
          <w:noProof/>
          <w:kern w:val="0"/>
          <w:sz w:val="24"/>
        </w:rPr>
      </w:pPr>
      <w:r w:rsidRPr="003E7FF8">
        <w:rPr>
          <w:rFonts w:ascii="宋体" w:hAnsi="宋体" w:cs="宋体" w:hint="eastAsia"/>
          <w:noProof/>
          <w:kern w:val="0"/>
          <w:sz w:val="24"/>
        </w:rPr>
        <w:drawing>
          <wp:inline distT="0" distB="0" distL="0" distR="0">
            <wp:extent cx="5274310" cy="2219285"/>
            <wp:effectExtent l="19050" t="0" r="21590" b="0"/>
            <wp:docPr id="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524F6" w:rsidRPr="008E3746" w:rsidRDefault="00F524F6" w:rsidP="00F524F6">
      <w:pPr>
        <w:spacing w:line="360" w:lineRule="auto"/>
        <w:jc w:val="center"/>
        <w:rPr>
          <w:szCs w:val="18"/>
        </w:rPr>
      </w:pPr>
      <w:r w:rsidRPr="008E3746">
        <w:rPr>
          <w:rFonts w:hint="eastAsia"/>
          <w:szCs w:val="18"/>
        </w:rPr>
        <w:t>图</w:t>
      </w:r>
      <w:r w:rsidRPr="008E3746">
        <w:rPr>
          <w:rFonts w:hint="eastAsia"/>
          <w:szCs w:val="18"/>
        </w:rPr>
        <w:t>1</w:t>
      </w:r>
      <w:r w:rsidRPr="008E3746">
        <w:rPr>
          <w:szCs w:val="18"/>
        </w:rPr>
        <w:t>-</w:t>
      </w:r>
      <w:r w:rsidRPr="008E3746">
        <w:rPr>
          <w:rFonts w:hint="eastAsia"/>
          <w:szCs w:val="18"/>
        </w:rPr>
        <w:t>1  2008</w:t>
      </w:r>
      <w:r w:rsidRPr="008E3746">
        <w:rPr>
          <w:rFonts w:hint="eastAsia"/>
          <w:szCs w:val="18"/>
        </w:rPr>
        <w:t>－</w:t>
      </w:r>
      <w:r w:rsidRPr="008E3746">
        <w:rPr>
          <w:rFonts w:hint="eastAsia"/>
          <w:szCs w:val="18"/>
        </w:rPr>
        <w:t>2021</w:t>
      </w:r>
      <w:r w:rsidRPr="008E3746">
        <w:rPr>
          <w:rFonts w:hint="eastAsia"/>
          <w:szCs w:val="18"/>
        </w:rPr>
        <w:t>年重庆市可疑医疗器械不良事件报告数量</w:t>
      </w:r>
    </w:p>
    <w:p w:rsidR="00F524F6" w:rsidRPr="00497A85" w:rsidRDefault="00F524F6" w:rsidP="00F524F6">
      <w:pPr>
        <w:spacing w:line="360" w:lineRule="auto"/>
        <w:ind w:firstLineChars="200" w:firstLine="640"/>
        <w:rPr>
          <w:rFonts w:ascii="方正仿宋_GBK" w:eastAsia="方正仿宋_GBK"/>
          <w:sz w:val="32"/>
        </w:rPr>
      </w:pPr>
      <w:r w:rsidRPr="00497A85">
        <w:rPr>
          <w:rFonts w:ascii="方正仿宋_GBK" w:eastAsia="方正仿宋_GBK" w:hint="eastAsia"/>
          <w:sz w:val="32"/>
        </w:rPr>
        <w:t>从每百万人口报告数来看，2021年我市每百万人口平均可疑医疗器械不良事件报告数为3</w:t>
      </w:r>
      <w:r w:rsidR="00497A85" w:rsidRPr="00497A85">
        <w:rPr>
          <w:rFonts w:ascii="方正仿宋_GBK" w:eastAsia="方正仿宋_GBK" w:hint="eastAsia"/>
          <w:sz w:val="32"/>
        </w:rPr>
        <w:t>53</w:t>
      </w:r>
      <w:r w:rsidRPr="00497A85">
        <w:rPr>
          <w:rFonts w:ascii="方正仿宋_GBK" w:eastAsia="方正仿宋_GBK" w:hint="eastAsia"/>
          <w:sz w:val="32"/>
        </w:rPr>
        <w:t>例，与去年相比增长了1</w:t>
      </w:r>
      <w:r w:rsidR="00497A85" w:rsidRPr="00497A85">
        <w:rPr>
          <w:rFonts w:ascii="方正仿宋_GBK" w:eastAsia="方正仿宋_GBK" w:hint="eastAsia"/>
          <w:sz w:val="32"/>
        </w:rPr>
        <w:t>4.2</w:t>
      </w:r>
      <w:r w:rsidR="00C94F01">
        <w:rPr>
          <w:rFonts w:ascii="方正仿宋_GBK" w:eastAsia="方正仿宋_GBK" w:hint="eastAsia"/>
          <w:sz w:val="32"/>
        </w:rPr>
        <w:t>4</w:t>
      </w:r>
      <w:r w:rsidRPr="00497A85">
        <w:rPr>
          <w:rFonts w:ascii="方正仿宋_GBK" w:eastAsia="方正仿宋_GBK" w:hint="eastAsia"/>
          <w:sz w:val="32"/>
        </w:rPr>
        <w:t>%。</w:t>
      </w:r>
    </w:p>
    <w:p w:rsidR="00F524F6" w:rsidRDefault="00546D2C" w:rsidP="00F524F6">
      <w:pPr>
        <w:spacing w:line="360" w:lineRule="auto"/>
      </w:pPr>
      <w:r w:rsidRPr="00546D2C">
        <w:rPr>
          <w:noProof/>
        </w:rPr>
        <w:lastRenderedPageBreak/>
        <w:drawing>
          <wp:inline distT="0" distB="0" distL="0" distR="0">
            <wp:extent cx="5278120" cy="3078480"/>
            <wp:effectExtent l="19050" t="0" r="17780" b="7620"/>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524F6" w:rsidRPr="00546D2C" w:rsidRDefault="00F524F6" w:rsidP="00F524F6">
      <w:pPr>
        <w:spacing w:line="360" w:lineRule="auto"/>
        <w:jc w:val="center"/>
        <w:rPr>
          <w:szCs w:val="18"/>
        </w:rPr>
      </w:pPr>
      <w:r w:rsidRPr="00546D2C">
        <w:rPr>
          <w:rFonts w:hint="eastAsia"/>
          <w:szCs w:val="18"/>
        </w:rPr>
        <w:t>图</w:t>
      </w:r>
      <w:r w:rsidRPr="00546D2C">
        <w:rPr>
          <w:rFonts w:hint="eastAsia"/>
          <w:szCs w:val="18"/>
        </w:rPr>
        <w:t>1</w:t>
      </w:r>
      <w:r w:rsidRPr="00546D2C">
        <w:rPr>
          <w:szCs w:val="18"/>
        </w:rPr>
        <w:t>-</w:t>
      </w:r>
      <w:r w:rsidRPr="00546D2C">
        <w:rPr>
          <w:rFonts w:hint="eastAsia"/>
          <w:szCs w:val="18"/>
        </w:rPr>
        <w:t>2  2008</w:t>
      </w:r>
      <w:r w:rsidRPr="00546D2C">
        <w:rPr>
          <w:rFonts w:hint="eastAsia"/>
          <w:szCs w:val="18"/>
        </w:rPr>
        <w:t>－</w:t>
      </w:r>
      <w:r w:rsidRPr="00546D2C">
        <w:rPr>
          <w:rFonts w:hint="eastAsia"/>
          <w:szCs w:val="18"/>
        </w:rPr>
        <w:t>2021</w:t>
      </w:r>
      <w:r w:rsidRPr="00546D2C">
        <w:rPr>
          <w:rFonts w:hint="eastAsia"/>
          <w:szCs w:val="18"/>
        </w:rPr>
        <w:t>年重庆市每百万人口平均医疗器械不良事件报告数量</w:t>
      </w:r>
    </w:p>
    <w:p w:rsidR="00A32B87" w:rsidRPr="00303EC0" w:rsidRDefault="000A18BA" w:rsidP="00303EC0">
      <w:pPr>
        <w:spacing w:line="360" w:lineRule="auto"/>
        <w:ind w:firstLineChars="200" w:firstLine="640"/>
        <w:rPr>
          <w:rFonts w:ascii="方正楷体_GBK" w:eastAsia="方正楷体_GBK"/>
          <w:sz w:val="32"/>
          <w:szCs w:val="32"/>
        </w:rPr>
      </w:pPr>
      <w:r w:rsidRPr="00303EC0">
        <w:rPr>
          <w:rFonts w:ascii="方正楷体_GBK" w:eastAsia="方正楷体_GBK" w:hint="eastAsia"/>
          <w:sz w:val="32"/>
          <w:szCs w:val="32"/>
        </w:rPr>
        <w:t>2</w:t>
      </w:r>
      <w:r w:rsidR="00A32B87" w:rsidRPr="00303EC0">
        <w:rPr>
          <w:rFonts w:ascii="方正楷体_GBK" w:eastAsia="方正楷体_GBK" w:hint="eastAsia"/>
          <w:sz w:val="32"/>
          <w:szCs w:val="32"/>
        </w:rPr>
        <w:t>、基层监测单位注册情况</w:t>
      </w:r>
    </w:p>
    <w:p w:rsidR="00A32B87" w:rsidRPr="006E60C4" w:rsidRDefault="00A32B87" w:rsidP="00A32B87">
      <w:pPr>
        <w:spacing w:line="360" w:lineRule="auto"/>
        <w:ind w:firstLineChars="200" w:firstLine="640"/>
        <w:rPr>
          <w:rFonts w:ascii="方正仿宋_GBK" w:eastAsia="方正仿宋_GBK"/>
          <w:sz w:val="32"/>
        </w:rPr>
      </w:pPr>
      <w:r w:rsidRPr="00A32B87">
        <w:rPr>
          <w:rFonts w:ascii="方正仿宋_GBK" w:eastAsia="方正仿宋_GBK" w:hint="eastAsia"/>
          <w:sz w:val="32"/>
        </w:rPr>
        <w:t>截至2021年12月31日，国家医疗器械不良事件监测信息系统中共有我市基层监测单位注册用户</w:t>
      </w:r>
      <w:r w:rsidR="00484FFE">
        <w:rPr>
          <w:rFonts w:ascii="方正仿宋_GBK" w:eastAsia="方正仿宋_GBK" w:hint="eastAsia"/>
          <w:sz w:val="32"/>
        </w:rPr>
        <w:t>6644</w:t>
      </w:r>
      <w:r w:rsidRPr="00A32B87">
        <w:rPr>
          <w:rFonts w:ascii="方正仿宋_GBK" w:eastAsia="方正仿宋_GBK" w:hint="eastAsia"/>
          <w:sz w:val="32"/>
        </w:rPr>
        <w:t>家，其中医疗器械注册人4</w:t>
      </w:r>
      <w:r w:rsidR="00810614">
        <w:rPr>
          <w:rFonts w:ascii="方正仿宋_GBK" w:eastAsia="方正仿宋_GBK" w:hint="eastAsia"/>
          <w:sz w:val="32"/>
        </w:rPr>
        <w:t>65</w:t>
      </w:r>
      <w:r w:rsidRPr="00A32B87">
        <w:rPr>
          <w:rFonts w:ascii="方正仿宋_GBK" w:eastAsia="方正仿宋_GBK" w:hint="eastAsia"/>
          <w:sz w:val="32"/>
        </w:rPr>
        <w:t>家，占用户总数的</w:t>
      </w:r>
      <w:r w:rsidR="00226E87">
        <w:rPr>
          <w:rFonts w:ascii="方正仿宋_GBK" w:eastAsia="方正仿宋_GBK" w:hint="eastAsia"/>
          <w:sz w:val="32"/>
        </w:rPr>
        <w:t>7.00</w:t>
      </w:r>
      <w:r w:rsidRPr="00A32B87">
        <w:rPr>
          <w:rFonts w:ascii="方正仿宋_GBK" w:eastAsia="方正仿宋_GBK" w:hint="eastAsia"/>
          <w:sz w:val="32"/>
        </w:rPr>
        <w:t>%</w:t>
      </w:r>
      <w:r w:rsidR="002668AA">
        <w:rPr>
          <w:rFonts w:ascii="方正仿宋_GBK" w:eastAsia="方正仿宋_GBK" w:hint="eastAsia"/>
          <w:sz w:val="32"/>
        </w:rPr>
        <w:t>；</w:t>
      </w:r>
      <w:r w:rsidRPr="00A32B87">
        <w:rPr>
          <w:rFonts w:ascii="方正仿宋_GBK" w:eastAsia="方正仿宋_GBK" w:hint="eastAsia"/>
          <w:sz w:val="32"/>
        </w:rPr>
        <w:t>经营企业</w:t>
      </w:r>
      <w:r w:rsidR="00810614">
        <w:rPr>
          <w:rFonts w:ascii="方正仿宋_GBK" w:eastAsia="方正仿宋_GBK" w:hint="eastAsia"/>
          <w:sz w:val="32"/>
        </w:rPr>
        <w:t>3808</w:t>
      </w:r>
      <w:r w:rsidRPr="00A32B87">
        <w:rPr>
          <w:rFonts w:ascii="方正仿宋_GBK" w:eastAsia="方正仿宋_GBK" w:hint="eastAsia"/>
          <w:sz w:val="32"/>
        </w:rPr>
        <w:t>家，占用户总数的</w:t>
      </w:r>
      <w:r w:rsidR="00226E87">
        <w:rPr>
          <w:rFonts w:ascii="方正仿宋_GBK" w:eastAsia="方正仿宋_GBK" w:hint="eastAsia"/>
          <w:sz w:val="32"/>
        </w:rPr>
        <w:t>57.31</w:t>
      </w:r>
      <w:r w:rsidRPr="00A32B87">
        <w:rPr>
          <w:rFonts w:ascii="方正仿宋_GBK" w:eastAsia="方正仿宋_GBK" w:hint="eastAsia"/>
          <w:sz w:val="32"/>
        </w:rPr>
        <w:t>%</w:t>
      </w:r>
      <w:r w:rsidR="002668AA">
        <w:rPr>
          <w:rFonts w:ascii="方正仿宋_GBK" w:eastAsia="方正仿宋_GBK" w:hint="eastAsia"/>
          <w:sz w:val="32"/>
        </w:rPr>
        <w:t>；</w:t>
      </w:r>
      <w:r w:rsidRPr="00A32B87">
        <w:rPr>
          <w:rFonts w:ascii="方正仿宋_GBK" w:eastAsia="方正仿宋_GBK" w:hint="eastAsia"/>
          <w:sz w:val="32"/>
        </w:rPr>
        <w:t>使用单位</w:t>
      </w:r>
      <w:r w:rsidR="00484FFE">
        <w:rPr>
          <w:rFonts w:ascii="方正仿宋_GBK" w:eastAsia="方正仿宋_GBK" w:hint="eastAsia"/>
          <w:sz w:val="32"/>
        </w:rPr>
        <w:t>2371</w:t>
      </w:r>
      <w:r w:rsidRPr="00A32B87">
        <w:rPr>
          <w:rFonts w:ascii="方正仿宋_GBK" w:eastAsia="方正仿宋_GBK" w:hint="eastAsia"/>
          <w:sz w:val="32"/>
        </w:rPr>
        <w:t>家，占用户总数的</w:t>
      </w:r>
      <w:r w:rsidR="00226E87">
        <w:rPr>
          <w:rFonts w:ascii="方正仿宋_GBK" w:eastAsia="方正仿宋_GBK" w:hint="eastAsia"/>
          <w:sz w:val="32"/>
        </w:rPr>
        <w:t>35.69</w:t>
      </w:r>
      <w:r w:rsidRPr="00A32B87">
        <w:rPr>
          <w:rFonts w:ascii="方正仿宋_GBK" w:eastAsia="方正仿宋_GBK" w:hint="eastAsia"/>
          <w:sz w:val="32"/>
        </w:rPr>
        <w:t>%</w:t>
      </w:r>
      <w:r w:rsidR="006E60C4" w:rsidRPr="006E60C4">
        <w:rPr>
          <w:rFonts w:ascii="方正仿宋_GBK" w:eastAsia="方正仿宋_GBK" w:hint="eastAsia"/>
          <w:sz w:val="32"/>
        </w:rPr>
        <w:t>。</w:t>
      </w:r>
    </w:p>
    <w:p w:rsidR="00BF2FDC" w:rsidRDefault="0044125C" w:rsidP="00FB3107">
      <w:pPr>
        <w:widowControl/>
        <w:jc w:val="left"/>
      </w:pPr>
      <w:r w:rsidRPr="0044125C">
        <w:rPr>
          <w:noProof/>
        </w:rPr>
        <w:drawing>
          <wp:inline distT="0" distB="0" distL="0" distR="0">
            <wp:extent cx="5238750" cy="2743200"/>
            <wp:effectExtent l="19050" t="0" r="19050" b="0"/>
            <wp:docPr id="1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F2FDC" w:rsidRPr="00BF2FDC" w:rsidRDefault="00BF2FDC" w:rsidP="00BF2FDC">
      <w:pPr>
        <w:spacing w:line="360" w:lineRule="auto"/>
        <w:jc w:val="center"/>
        <w:rPr>
          <w:rFonts w:ascii="方正黑体_GBK" w:eastAsia="方正黑体_GBK"/>
          <w:sz w:val="32"/>
          <w:szCs w:val="32"/>
        </w:rPr>
      </w:pPr>
      <w:r w:rsidRPr="00BF2FDC">
        <w:rPr>
          <w:rFonts w:hint="eastAsia"/>
          <w:szCs w:val="18"/>
        </w:rPr>
        <w:t>图</w:t>
      </w:r>
      <w:r w:rsidRPr="00BF2FDC">
        <w:rPr>
          <w:rFonts w:hint="eastAsia"/>
          <w:szCs w:val="18"/>
        </w:rPr>
        <w:t>1</w:t>
      </w:r>
      <w:r w:rsidRPr="00BF2FDC">
        <w:rPr>
          <w:szCs w:val="18"/>
        </w:rPr>
        <w:t>-</w:t>
      </w:r>
      <w:r w:rsidRPr="00BF2FDC">
        <w:rPr>
          <w:rFonts w:hint="eastAsia"/>
          <w:szCs w:val="18"/>
        </w:rPr>
        <w:t xml:space="preserve">3  </w:t>
      </w:r>
      <w:r w:rsidRPr="00BF2FDC">
        <w:rPr>
          <w:rFonts w:hint="eastAsia"/>
          <w:szCs w:val="18"/>
        </w:rPr>
        <w:t>基层监测单位用户注册情况</w:t>
      </w:r>
    </w:p>
    <w:p w:rsidR="00026084" w:rsidRPr="000A18BA" w:rsidRDefault="000A18BA" w:rsidP="000A18BA">
      <w:pPr>
        <w:spacing w:line="360" w:lineRule="auto"/>
        <w:ind w:firstLineChars="200" w:firstLine="640"/>
        <w:rPr>
          <w:rFonts w:ascii="方正黑体_GBK" w:eastAsia="方正黑体_GBK"/>
          <w:sz w:val="32"/>
          <w:szCs w:val="32"/>
        </w:rPr>
      </w:pPr>
      <w:r>
        <w:rPr>
          <w:rFonts w:ascii="方正黑体_GBK" w:eastAsia="方正黑体_GBK" w:hint="eastAsia"/>
          <w:sz w:val="32"/>
          <w:szCs w:val="32"/>
        </w:rPr>
        <w:lastRenderedPageBreak/>
        <w:t>二、</w:t>
      </w:r>
      <w:r w:rsidR="00026084" w:rsidRPr="000A18BA">
        <w:rPr>
          <w:rFonts w:ascii="方正黑体_GBK" w:eastAsia="方正黑体_GBK" w:hint="eastAsia"/>
          <w:sz w:val="32"/>
          <w:szCs w:val="32"/>
        </w:rPr>
        <w:t>2021年全市医疗器械不良事件报告统计分析</w:t>
      </w:r>
    </w:p>
    <w:p w:rsidR="00026084" w:rsidRPr="00303EC0" w:rsidRDefault="000A18BA" w:rsidP="00303EC0">
      <w:pPr>
        <w:spacing w:line="360" w:lineRule="auto"/>
        <w:ind w:firstLineChars="200" w:firstLine="640"/>
        <w:rPr>
          <w:rFonts w:ascii="方正楷体_GBK" w:eastAsia="方正楷体_GBK"/>
          <w:sz w:val="32"/>
          <w:szCs w:val="32"/>
        </w:rPr>
      </w:pPr>
      <w:r w:rsidRPr="00303EC0">
        <w:rPr>
          <w:rFonts w:ascii="方正楷体_GBK" w:eastAsia="方正楷体_GBK" w:hint="eastAsia"/>
          <w:sz w:val="32"/>
          <w:szCs w:val="32"/>
        </w:rPr>
        <w:t>1</w:t>
      </w:r>
      <w:r w:rsidR="00026084" w:rsidRPr="00303EC0">
        <w:rPr>
          <w:rFonts w:ascii="方正楷体_GBK" w:eastAsia="方正楷体_GBK" w:hint="eastAsia"/>
          <w:sz w:val="32"/>
          <w:szCs w:val="32"/>
        </w:rPr>
        <w:t>、可疑医疗器械不良事件报告来源情况分析</w:t>
      </w:r>
    </w:p>
    <w:p w:rsidR="0002399E" w:rsidRPr="00EB0563" w:rsidRDefault="00026084" w:rsidP="0002399E">
      <w:pPr>
        <w:spacing w:line="360" w:lineRule="auto"/>
        <w:ind w:firstLineChars="200" w:firstLine="640"/>
        <w:rPr>
          <w:rFonts w:ascii="方正仿宋_GBK" w:eastAsia="方正仿宋_GBK"/>
          <w:sz w:val="32"/>
        </w:rPr>
      </w:pPr>
      <w:r w:rsidRPr="00EB0563">
        <w:rPr>
          <w:rFonts w:ascii="方正仿宋_GBK" w:eastAsia="方正仿宋_GBK" w:hint="eastAsia"/>
          <w:sz w:val="32"/>
        </w:rPr>
        <w:t>2021年我市上报的可疑医疗器械不良事件报告中，来自医疗器械使用单位的报告共</w:t>
      </w:r>
      <w:r w:rsidR="00EB0563" w:rsidRPr="00EB0563">
        <w:rPr>
          <w:rFonts w:ascii="方正仿宋_GBK" w:eastAsia="方正仿宋_GBK" w:hint="eastAsia"/>
          <w:sz w:val="32"/>
        </w:rPr>
        <w:t>10249</w:t>
      </w:r>
      <w:r w:rsidRPr="00EB0563">
        <w:rPr>
          <w:rFonts w:ascii="方正仿宋_GBK" w:eastAsia="方正仿宋_GBK" w:hint="eastAsia"/>
          <w:sz w:val="32"/>
        </w:rPr>
        <w:t>份，占总报告数的9</w:t>
      </w:r>
      <w:r w:rsidR="00EB0563" w:rsidRPr="00EB0563">
        <w:rPr>
          <w:rFonts w:ascii="方正仿宋_GBK" w:eastAsia="方正仿宋_GBK" w:hint="eastAsia"/>
          <w:sz w:val="32"/>
        </w:rPr>
        <w:t>0.72</w:t>
      </w:r>
      <w:r w:rsidRPr="00EB0563">
        <w:rPr>
          <w:rFonts w:ascii="方正仿宋_GBK" w:eastAsia="方正仿宋_GBK" w:hint="eastAsia"/>
          <w:sz w:val="32"/>
        </w:rPr>
        <w:t>%；来自经营企业的报告</w:t>
      </w:r>
      <w:r w:rsidR="00EB0563" w:rsidRPr="00EB0563">
        <w:rPr>
          <w:rFonts w:ascii="方正仿宋_GBK" w:eastAsia="方正仿宋_GBK" w:hint="eastAsia"/>
          <w:sz w:val="32"/>
        </w:rPr>
        <w:t>1010</w:t>
      </w:r>
      <w:r w:rsidRPr="00EB0563">
        <w:rPr>
          <w:rFonts w:ascii="方正仿宋_GBK" w:eastAsia="方正仿宋_GBK" w:hint="eastAsia"/>
          <w:sz w:val="32"/>
        </w:rPr>
        <w:t>份，占总报告数的</w:t>
      </w:r>
      <w:r w:rsidR="00EB0563" w:rsidRPr="00EB0563">
        <w:rPr>
          <w:rFonts w:ascii="方正仿宋_GBK" w:eastAsia="方正仿宋_GBK" w:hint="eastAsia"/>
          <w:sz w:val="32"/>
        </w:rPr>
        <w:t>8.94</w:t>
      </w:r>
      <w:r w:rsidRPr="00EB0563">
        <w:rPr>
          <w:rFonts w:ascii="方正仿宋_GBK" w:eastAsia="方正仿宋_GBK" w:hint="eastAsia"/>
          <w:sz w:val="32"/>
        </w:rPr>
        <w:t>%；来自注册人的报告</w:t>
      </w:r>
      <w:r w:rsidR="00EB0563" w:rsidRPr="00EB0563">
        <w:rPr>
          <w:rFonts w:ascii="方正仿宋_GBK" w:eastAsia="方正仿宋_GBK" w:hint="eastAsia"/>
          <w:sz w:val="32"/>
        </w:rPr>
        <w:t>39</w:t>
      </w:r>
      <w:r w:rsidRPr="00EB0563">
        <w:rPr>
          <w:rFonts w:ascii="方正仿宋_GBK" w:eastAsia="方正仿宋_GBK" w:hint="eastAsia"/>
          <w:sz w:val="32"/>
        </w:rPr>
        <w:t>份，占总报告数的0.</w:t>
      </w:r>
      <w:r w:rsidR="00EB0563" w:rsidRPr="00EB0563">
        <w:rPr>
          <w:rFonts w:ascii="方正仿宋_GBK" w:eastAsia="方正仿宋_GBK" w:hint="eastAsia"/>
          <w:sz w:val="32"/>
        </w:rPr>
        <w:t>35</w:t>
      </w:r>
      <w:r w:rsidRPr="00EB0563">
        <w:rPr>
          <w:rFonts w:ascii="方正仿宋_GBK" w:eastAsia="方正仿宋_GBK" w:hint="eastAsia"/>
          <w:sz w:val="32"/>
        </w:rPr>
        <w:t xml:space="preserve">%。与往年相比，各类基层单位报告数量构成比无明显变化，使用单位依然是报告的主要来源。 </w:t>
      </w:r>
    </w:p>
    <w:p w:rsidR="00276F9E" w:rsidRDefault="00276F9E" w:rsidP="00276F9E">
      <w:pPr>
        <w:widowControl/>
        <w:jc w:val="left"/>
        <w:rPr>
          <w:rFonts w:ascii="宋体" w:hAnsi="宋体" w:cs="宋体"/>
          <w:noProof/>
          <w:kern w:val="0"/>
          <w:sz w:val="24"/>
        </w:rPr>
      </w:pPr>
    </w:p>
    <w:p w:rsidR="007140EC" w:rsidRPr="00276F9E" w:rsidRDefault="007140EC" w:rsidP="00276F9E">
      <w:pPr>
        <w:widowControl/>
        <w:jc w:val="left"/>
        <w:rPr>
          <w:rFonts w:ascii="宋体" w:hAnsi="宋体" w:cs="宋体"/>
          <w:kern w:val="0"/>
          <w:sz w:val="24"/>
        </w:rPr>
      </w:pPr>
      <w:r w:rsidRPr="007140EC">
        <w:rPr>
          <w:rFonts w:ascii="宋体" w:hAnsi="宋体" w:cs="宋体"/>
          <w:noProof/>
          <w:kern w:val="0"/>
          <w:sz w:val="24"/>
        </w:rPr>
        <w:drawing>
          <wp:inline distT="0" distB="0" distL="0" distR="0">
            <wp:extent cx="5253990" cy="2834640"/>
            <wp:effectExtent l="19050" t="0" r="22860" b="3810"/>
            <wp:docPr id="1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056AC" w:rsidRPr="00A056AC" w:rsidRDefault="00A056AC" w:rsidP="00A056AC">
      <w:pPr>
        <w:spacing w:after="240" w:line="360" w:lineRule="auto"/>
        <w:jc w:val="center"/>
        <w:rPr>
          <w:szCs w:val="18"/>
        </w:rPr>
      </w:pPr>
      <w:r w:rsidRPr="00A056AC">
        <w:rPr>
          <w:rFonts w:hint="eastAsia"/>
          <w:szCs w:val="18"/>
        </w:rPr>
        <w:t>图</w:t>
      </w:r>
      <w:r w:rsidRPr="00A056AC">
        <w:rPr>
          <w:rFonts w:hint="eastAsia"/>
          <w:szCs w:val="18"/>
        </w:rPr>
        <w:t>2</w:t>
      </w:r>
      <w:r w:rsidRPr="00A056AC">
        <w:rPr>
          <w:szCs w:val="18"/>
        </w:rPr>
        <w:t>-</w:t>
      </w:r>
      <w:r w:rsidRPr="00A056AC">
        <w:rPr>
          <w:rFonts w:hint="eastAsia"/>
          <w:szCs w:val="18"/>
        </w:rPr>
        <w:t xml:space="preserve">1  </w:t>
      </w:r>
      <w:r w:rsidRPr="00A056AC">
        <w:rPr>
          <w:rFonts w:hint="eastAsia"/>
          <w:szCs w:val="18"/>
        </w:rPr>
        <w:t>基层上报单位报告数量的构成比</w:t>
      </w:r>
    </w:p>
    <w:p w:rsidR="00175F6F" w:rsidRPr="00303EC0" w:rsidRDefault="000A18BA" w:rsidP="00303EC0">
      <w:pPr>
        <w:spacing w:line="360" w:lineRule="auto"/>
        <w:ind w:firstLineChars="200" w:firstLine="640"/>
        <w:rPr>
          <w:rFonts w:ascii="方正楷体_GBK" w:eastAsia="方正楷体_GBK"/>
          <w:sz w:val="32"/>
          <w:szCs w:val="32"/>
        </w:rPr>
      </w:pPr>
      <w:r w:rsidRPr="00303EC0">
        <w:rPr>
          <w:rFonts w:ascii="方正楷体_GBK" w:eastAsia="方正楷体_GBK" w:hint="eastAsia"/>
          <w:sz w:val="32"/>
          <w:szCs w:val="32"/>
        </w:rPr>
        <w:t>2</w:t>
      </w:r>
      <w:r w:rsidR="00175F6F" w:rsidRPr="00303EC0">
        <w:rPr>
          <w:rFonts w:ascii="方正楷体_GBK" w:eastAsia="方正楷体_GBK" w:hint="eastAsia"/>
          <w:sz w:val="32"/>
          <w:szCs w:val="32"/>
        </w:rPr>
        <w:t>、可疑医疗器械不良事件伤害程度情况分析</w:t>
      </w:r>
    </w:p>
    <w:p w:rsidR="00175F6F" w:rsidRPr="00F95B21" w:rsidRDefault="00175F6F" w:rsidP="00175F6F">
      <w:pPr>
        <w:spacing w:line="360" w:lineRule="auto"/>
        <w:ind w:firstLineChars="200" w:firstLine="640"/>
        <w:rPr>
          <w:rFonts w:ascii="方正仿宋_GBK" w:eastAsia="方正仿宋_GBK"/>
          <w:sz w:val="32"/>
        </w:rPr>
      </w:pPr>
      <w:r w:rsidRPr="00F95B21">
        <w:rPr>
          <w:rFonts w:ascii="方正仿宋_GBK" w:eastAsia="方正仿宋_GBK" w:hint="eastAsia"/>
          <w:sz w:val="32"/>
        </w:rPr>
        <w:t>2021年收到的可疑</w:t>
      </w:r>
      <w:r w:rsidRPr="00D4010A">
        <w:rPr>
          <w:rFonts w:ascii="方正仿宋_GBK" w:eastAsia="方正仿宋_GBK" w:hint="eastAsia"/>
          <w:sz w:val="32"/>
        </w:rPr>
        <w:t>医疗器械不良事件报告中，共有</w:t>
      </w:r>
      <w:r w:rsidR="00E176ED" w:rsidRPr="00D4010A">
        <w:rPr>
          <w:rFonts w:ascii="方正仿宋_GBK" w:eastAsia="方正仿宋_GBK" w:hint="eastAsia"/>
          <w:sz w:val="32"/>
        </w:rPr>
        <w:t>2</w:t>
      </w:r>
      <w:r w:rsidR="00B20300" w:rsidRPr="00D4010A">
        <w:rPr>
          <w:rFonts w:ascii="方正仿宋_GBK" w:eastAsia="方正仿宋_GBK" w:hint="eastAsia"/>
          <w:sz w:val="32"/>
        </w:rPr>
        <w:t>6</w:t>
      </w:r>
      <w:r w:rsidRPr="00D4010A">
        <w:rPr>
          <w:rFonts w:ascii="方正仿宋_GBK" w:eastAsia="方正仿宋_GBK" w:hint="eastAsia"/>
          <w:sz w:val="32"/>
        </w:rPr>
        <w:t>例是导致或可能导致严重伤害的不良事件，占总报告数的0.</w:t>
      </w:r>
      <w:r w:rsidR="00E176ED" w:rsidRPr="00D4010A">
        <w:rPr>
          <w:rFonts w:ascii="方正仿宋_GBK" w:eastAsia="方正仿宋_GBK" w:hint="eastAsia"/>
          <w:sz w:val="32"/>
        </w:rPr>
        <w:t>23</w:t>
      </w:r>
      <w:r w:rsidRPr="00D4010A">
        <w:rPr>
          <w:rFonts w:ascii="方正仿宋_GBK" w:eastAsia="方正仿宋_GBK" w:hint="eastAsia"/>
          <w:sz w:val="32"/>
        </w:rPr>
        <w:t>%，</w:t>
      </w:r>
      <w:r w:rsidR="00D4010A" w:rsidRPr="00D4010A">
        <w:rPr>
          <w:rFonts w:ascii="方正仿宋_GBK" w:eastAsia="方正仿宋_GBK" w:hint="eastAsia"/>
          <w:sz w:val="32"/>
        </w:rPr>
        <w:t>1</w:t>
      </w:r>
      <w:r w:rsidRPr="00D4010A">
        <w:rPr>
          <w:rFonts w:ascii="方正仿宋_GBK" w:eastAsia="方正仿宋_GBK" w:hint="eastAsia"/>
          <w:sz w:val="32"/>
        </w:rPr>
        <w:t>死亡病例报告。严重伤害报告所占比例较去年（0.</w:t>
      </w:r>
      <w:r w:rsidR="00E176ED" w:rsidRPr="00D4010A">
        <w:rPr>
          <w:rFonts w:ascii="方正仿宋_GBK" w:eastAsia="方正仿宋_GBK" w:hint="eastAsia"/>
          <w:sz w:val="32"/>
        </w:rPr>
        <w:t>38</w:t>
      </w:r>
      <w:r w:rsidRPr="00D4010A">
        <w:rPr>
          <w:rFonts w:ascii="方正仿宋_GBK" w:eastAsia="方正仿宋_GBK" w:hint="eastAsia"/>
          <w:sz w:val="32"/>
        </w:rPr>
        <w:t>%）</w:t>
      </w:r>
      <w:r w:rsidRPr="00F95B21">
        <w:rPr>
          <w:rFonts w:ascii="方正仿宋_GBK" w:eastAsia="方正仿宋_GBK" w:hint="eastAsia"/>
          <w:sz w:val="32"/>
        </w:rPr>
        <w:t>无明显变化。</w:t>
      </w:r>
    </w:p>
    <w:p w:rsidR="00175F6F" w:rsidRDefault="00460F0A" w:rsidP="00460F0A">
      <w:pPr>
        <w:widowControl/>
        <w:jc w:val="center"/>
        <w:rPr>
          <w:szCs w:val="18"/>
        </w:rPr>
      </w:pPr>
      <w:r w:rsidRPr="00460F0A">
        <w:rPr>
          <w:rFonts w:ascii="宋体" w:hAnsi="宋体" w:cs="宋体"/>
          <w:noProof/>
          <w:kern w:val="0"/>
          <w:sz w:val="24"/>
        </w:rPr>
        <w:lastRenderedPageBreak/>
        <w:drawing>
          <wp:inline distT="0" distB="0" distL="0" distR="0">
            <wp:extent cx="5314950" cy="2423160"/>
            <wp:effectExtent l="19050" t="0" r="19050"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175F6F" w:rsidRPr="004D1EDE">
        <w:rPr>
          <w:rFonts w:hint="eastAsia"/>
          <w:szCs w:val="18"/>
        </w:rPr>
        <w:t>图</w:t>
      </w:r>
      <w:r w:rsidR="00175F6F" w:rsidRPr="004D1EDE">
        <w:rPr>
          <w:rFonts w:hint="eastAsia"/>
          <w:szCs w:val="18"/>
        </w:rPr>
        <w:t>2</w:t>
      </w:r>
      <w:r w:rsidR="00175F6F" w:rsidRPr="004D1EDE">
        <w:rPr>
          <w:szCs w:val="18"/>
        </w:rPr>
        <w:t>-</w:t>
      </w:r>
      <w:r w:rsidR="00175F6F" w:rsidRPr="004D1EDE">
        <w:rPr>
          <w:rFonts w:hint="eastAsia"/>
          <w:szCs w:val="18"/>
        </w:rPr>
        <w:t xml:space="preserve">2 </w:t>
      </w:r>
      <w:r w:rsidR="00175F6F" w:rsidRPr="004D1EDE">
        <w:rPr>
          <w:rFonts w:hint="eastAsia"/>
          <w:szCs w:val="18"/>
        </w:rPr>
        <w:t>可疑医疗器械不良事件伤害程度情况</w:t>
      </w:r>
    </w:p>
    <w:p w:rsidR="00460F0A" w:rsidRPr="00460F0A" w:rsidRDefault="00460F0A" w:rsidP="00460F0A">
      <w:pPr>
        <w:widowControl/>
        <w:jc w:val="center"/>
        <w:rPr>
          <w:rFonts w:ascii="宋体" w:hAnsi="宋体" w:cs="宋体"/>
          <w:kern w:val="0"/>
          <w:sz w:val="24"/>
        </w:rPr>
      </w:pPr>
    </w:p>
    <w:p w:rsidR="00175F6F" w:rsidRPr="00303EC0" w:rsidRDefault="000A18BA" w:rsidP="00303EC0">
      <w:pPr>
        <w:spacing w:line="360" w:lineRule="auto"/>
        <w:ind w:firstLineChars="200" w:firstLine="640"/>
        <w:rPr>
          <w:rFonts w:ascii="方正楷体_GBK" w:eastAsia="方正楷体_GBK"/>
          <w:sz w:val="32"/>
          <w:szCs w:val="32"/>
        </w:rPr>
      </w:pPr>
      <w:r w:rsidRPr="00303EC0">
        <w:rPr>
          <w:rFonts w:ascii="方正楷体_GBK" w:eastAsia="方正楷体_GBK" w:hint="eastAsia"/>
          <w:sz w:val="32"/>
          <w:szCs w:val="32"/>
        </w:rPr>
        <w:t>3</w:t>
      </w:r>
      <w:r w:rsidR="00175F6F" w:rsidRPr="00303EC0">
        <w:rPr>
          <w:rFonts w:ascii="方正楷体_GBK" w:eastAsia="方正楷体_GBK" w:hint="eastAsia"/>
          <w:sz w:val="32"/>
          <w:szCs w:val="32"/>
        </w:rPr>
        <w:t>、可疑医疗器械不良事件涉及管理类别情况分析</w:t>
      </w:r>
    </w:p>
    <w:p w:rsidR="00175F6F" w:rsidRPr="00913AFD" w:rsidRDefault="00175F6F" w:rsidP="00175F6F">
      <w:pPr>
        <w:spacing w:line="360" w:lineRule="auto"/>
        <w:ind w:firstLineChars="200" w:firstLine="640"/>
        <w:rPr>
          <w:rFonts w:ascii="方正仿宋_GBK" w:eastAsia="方正仿宋_GBK"/>
          <w:sz w:val="32"/>
        </w:rPr>
      </w:pPr>
      <w:r w:rsidRPr="00913AFD">
        <w:rPr>
          <w:rFonts w:ascii="方正仿宋_GBK" w:eastAsia="方正仿宋_GBK" w:hint="eastAsia"/>
          <w:sz w:val="32"/>
        </w:rPr>
        <w:t>2021年我市上报的可疑医疗器械不良事件报告中，Ⅰ类医疗器械共7</w:t>
      </w:r>
      <w:r w:rsidR="00913AFD" w:rsidRPr="00913AFD">
        <w:rPr>
          <w:rFonts w:ascii="方正仿宋_GBK" w:eastAsia="方正仿宋_GBK" w:hint="eastAsia"/>
          <w:sz w:val="32"/>
        </w:rPr>
        <w:t>86</w:t>
      </w:r>
      <w:r w:rsidRPr="00913AFD">
        <w:rPr>
          <w:rFonts w:ascii="方正仿宋_GBK" w:eastAsia="方正仿宋_GBK" w:hint="eastAsia"/>
          <w:sz w:val="32"/>
        </w:rPr>
        <w:t>例，占总报告数的6.</w:t>
      </w:r>
      <w:r w:rsidR="00913AFD" w:rsidRPr="00913AFD">
        <w:rPr>
          <w:rFonts w:ascii="方正仿宋_GBK" w:eastAsia="方正仿宋_GBK" w:hint="eastAsia"/>
          <w:sz w:val="32"/>
        </w:rPr>
        <w:t>96</w:t>
      </w:r>
      <w:r w:rsidRPr="00913AFD">
        <w:rPr>
          <w:rFonts w:ascii="方正仿宋_GBK" w:eastAsia="方正仿宋_GBK" w:hint="eastAsia"/>
          <w:sz w:val="32"/>
        </w:rPr>
        <w:t>%，</w:t>
      </w:r>
      <w:r w:rsidR="00B91E41" w:rsidRPr="00B91E41">
        <w:rPr>
          <w:rFonts w:ascii="方正仿宋_GBK" w:eastAsia="方正仿宋_GBK"/>
          <w:sz w:val="32"/>
        </w:rPr>
        <w:t>涉及医用胶带、引流袋、敷料及医用棉签、负压引流器等产品</w:t>
      </w:r>
      <w:r w:rsidRPr="00913AFD">
        <w:rPr>
          <w:rFonts w:ascii="方正仿宋_GBK" w:eastAsia="方正仿宋_GBK" w:hint="eastAsia"/>
          <w:sz w:val="32"/>
        </w:rPr>
        <w:t>；Ⅱ类医疗器械共</w:t>
      </w:r>
      <w:r w:rsidR="00913AFD" w:rsidRPr="00913AFD">
        <w:rPr>
          <w:rFonts w:ascii="方正仿宋_GBK" w:eastAsia="方正仿宋_GBK" w:hint="eastAsia"/>
          <w:sz w:val="32"/>
        </w:rPr>
        <w:t>5494</w:t>
      </w:r>
      <w:r w:rsidRPr="00913AFD">
        <w:rPr>
          <w:rFonts w:ascii="方正仿宋_GBK" w:eastAsia="方正仿宋_GBK" w:hint="eastAsia"/>
          <w:sz w:val="32"/>
        </w:rPr>
        <w:t>例，占总报告数的4</w:t>
      </w:r>
      <w:r w:rsidR="00913AFD" w:rsidRPr="00913AFD">
        <w:rPr>
          <w:rFonts w:ascii="方正仿宋_GBK" w:eastAsia="方正仿宋_GBK" w:hint="eastAsia"/>
          <w:sz w:val="32"/>
        </w:rPr>
        <w:t>8.63</w:t>
      </w:r>
      <w:r w:rsidRPr="00913AFD">
        <w:rPr>
          <w:rFonts w:ascii="方正仿宋_GBK" w:eastAsia="方正仿宋_GBK" w:hint="eastAsia"/>
          <w:sz w:val="32"/>
        </w:rPr>
        <w:t>%，</w:t>
      </w:r>
      <w:r w:rsidR="00B91E41" w:rsidRPr="00B91E41">
        <w:rPr>
          <w:rFonts w:ascii="方正仿宋_GBK" w:eastAsia="方正仿宋_GBK"/>
          <w:sz w:val="32"/>
        </w:rPr>
        <w:t>涉及物理治疗仪、导尿管等产品</w:t>
      </w:r>
      <w:r w:rsidRPr="00913AFD">
        <w:rPr>
          <w:rFonts w:ascii="方正仿宋_GBK" w:eastAsia="方正仿宋_GBK" w:hint="eastAsia"/>
          <w:sz w:val="32"/>
        </w:rPr>
        <w:t>；Ⅲ类医疗器械共4</w:t>
      </w:r>
      <w:r w:rsidR="00913AFD" w:rsidRPr="00913AFD">
        <w:rPr>
          <w:rFonts w:ascii="方正仿宋_GBK" w:eastAsia="方正仿宋_GBK" w:hint="eastAsia"/>
          <w:sz w:val="32"/>
        </w:rPr>
        <w:t>474</w:t>
      </w:r>
      <w:r w:rsidRPr="00913AFD">
        <w:rPr>
          <w:rFonts w:ascii="方正仿宋_GBK" w:eastAsia="方正仿宋_GBK" w:hint="eastAsia"/>
          <w:sz w:val="32"/>
        </w:rPr>
        <w:t>例，占总报告数的</w:t>
      </w:r>
      <w:r w:rsidR="00913AFD" w:rsidRPr="00913AFD">
        <w:rPr>
          <w:rFonts w:ascii="方正仿宋_GBK" w:eastAsia="方正仿宋_GBK" w:hint="eastAsia"/>
          <w:sz w:val="32"/>
        </w:rPr>
        <w:t>39.6</w:t>
      </w:r>
      <w:r w:rsidR="006E04F1">
        <w:rPr>
          <w:rFonts w:ascii="方正仿宋_GBK" w:eastAsia="方正仿宋_GBK" w:hint="eastAsia"/>
          <w:sz w:val="32"/>
        </w:rPr>
        <w:t>0</w:t>
      </w:r>
      <w:r w:rsidRPr="00913AFD">
        <w:rPr>
          <w:rFonts w:ascii="方正仿宋_GBK" w:eastAsia="方正仿宋_GBK" w:hint="eastAsia"/>
          <w:sz w:val="32"/>
        </w:rPr>
        <w:t>%，</w:t>
      </w:r>
      <w:r w:rsidR="00B91E41" w:rsidRPr="00B91E41">
        <w:rPr>
          <w:rFonts w:ascii="方正仿宋_GBK" w:eastAsia="方正仿宋_GBK"/>
          <w:sz w:val="32"/>
        </w:rPr>
        <w:t>涉及各类输液器、注射器、角膜接触镜等产品</w:t>
      </w:r>
      <w:r w:rsidRPr="00913AFD">
        <w:rPr>
          <w:rFonts w:ascii="方正仿宋_GBK" w:eastAsia="方正仿宋_GBK" w:hint="eastAsia"/>
          <w:sz w:val="32"/>
        </w:rPr>
        <w:t>；还有</w:t>
      </w:r>
      <w:r w:rsidR="00913AFD" w:rsidRPr="00913AFD">
        <w:rPr>
          <w:rFonts w:ascii="方正仿宋_GBK" w:eastAsia="方正仿宋_GBK" w:hint="eastAsia"/>
          <w:sz w:val="32"/>
        </w:rPr>
        <w:t>544</w:t>
      </w:r>
      <w:r w:rsidRPr="00913AFD">
        <w:rPr>
          <w:rFonts w:ascii="方正仿宋_GBK" w:eastAsia="方正仿宋_GBK" w:hint="eastAsia"/>
          <w:sz w:val="32"/>
        </w:rPr>
        <w:t>例报告（</w:t>
      </w:r>
      <w:r w:rsidR="00913AFD" w:rsidRPr="00913AFD">
        <w:rPr>
          <w:rFonts w:ascii="方正仿宋_GBK" w:eastAsia="方正仿宋_GBK" w:hint="eastAsia"/>
          <w:sz w:val="32"/>
        </w:rPr>
        <w:t>4.82</w:t>
      </w:r>
      <w:r w:rsidRPr="00913AFD">
        <w:rPr>
          <w:rFonts w:ascii="方正仿宋_GBK" w:eastAsia="方正仿宋_GBK" w:hint="eastAsia"/>
          <w:sz w:val="32"/>
        </w:rPr>
        <w:t>%）由于企业注册证未维护、注册证号格式不准确等原因无法识别统计其管理类别。</w:t>
      </w:r>
    </w:p>
    <w:p w:rsidR="00913AFD" w:rsidRPr="00913AFD" w:rsidRDefault="00EC1615" w:rsidP="00913AFD">
      <w:pPr>
        <w:widowControl/>
        <w:jc w:val="left"/>
        <w:rPr>
          <w:rFonts w:ascii="宋体" w:hAnsi="宋体" w:cs="宋体"/>
          <w:kern w:val="0"/>
          <w:sz w:val="24"/>
        </w:rPr>
      </w:pPr>
      <w:r w:rsidRPr="00EC1615">
        <w:rPr>
          <w:rFonts w:ascii="宋体" w:hAnsi="宋体" w:cs="宋体"/>
          <w:noProof/>
          <w:kern w:val="0"/>
          <w:sz w:val="24"/>
        </w:rPr>
        <w:lastRenderedPageBreak/>
        <w:drawing>
          <wp:inline distT="0" distB="0" distL="0" distR="0">
            <wp:extent cx="5261610" cy="2804160"/>
            <wp:effectExtent l="19050" t="0" r="15240" b="0"/>
            <wp:docPr id="15"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75F6F" w:rsidRPr="00913AFD" w:rsidRDefault="00175F6F" w:rsidP="00175F6F">
      <w:pPr>
        <w:spacing w:line="360" w:lineRule="auto"/>
        <w:jc w:val="center"/>
        <w:rPr>
          <w:szCs w:val="18"/>
        </w:rPr>
      </w:pPr>
      <w:r w:rsidRPr="00913AFD">
        <w:rPr>
          <w:rFonts w:hint="eastAsia"/>
          <w:szCs w:val="18"/>
        </w:rPr>
        <w:t>图</w:t>
      </w:r>
      <w:r w:rsidRPr="00913AFD">
        <w:rPr>
          <w:rFonts w:hint="eastAsia"/>
          <w:szCs w:val="18"/>
        </w:rPr>
        <w:t xml:space="preserve">2-3  </w:t>
      </w:r>
      <w:r w:rsidRPr="00913AFD">
        <w:rPr>
          <w:rFonts w:hint="eastAsia"/>
          <w:szCs w:val="18"/>
        </w:rPr>
        <w:t>涉及产品的管理类别构成情况</w:t>
      </w:r>
    </w:p>
    <w:p w:rsidR="00175F6F" w:rsidRPr="00303EC0" w:rsidRDefault="000A18BA" w:rsidP="00303EC0">
      <w:pPr>
        <w:spacing w:line="360" w:lineRule="auto"/>
        <w:ind w:firstLineChars="200" w:firstLine="640"/>
        <w:rPr>
          <w:rFonts w:ascii="方正楷体_GBK" w:eastAsia="方正楷体_GBK"/>
          <w:sz w:val="32"/>
          <w:szCs w:val="32"/>
        </w:rPr>
      </w:pPr>
      <w:r w:rsidRPr="00303EC0">
        <w:rPr>
          <w:rFonts w:ascii="方正楷体_GBK" w:eastAsia="方正楷体_GBK" w:hint="eastAsia"/>
          <w:sz w:val="32"/>
          <w:szCs w:val="32"/>
        </w:rPr>
        <w:t>4</w:t>
      </w:r>
      <w:r w:rsidR="00175F6F" w:rsidRPr="00303EC0">
        <w:rPr>
          <w:rFonts w:ascii="方正楷体_GBK" w:eastAsia="方正楷体_GBK" w:hint="eastAsia"/>
          <w:sz w:val="32"/>
          <w:szCs w:val="32"/>
        </w:rPr>
        <w:t>、可疑医疗器械不良事件涉及产品分类目录情况分析</w:t>
      </w:r>
    </w:p>
    <w:p w:rsidR="00175F6F" w:rsidRPr="000A7742" w:rsidRDefault="00175F6F" w:rsidP="00175F6F">
      <w:pPr>
        <w:spacing w:line="360" w:lineRule="auto"/>
        <w:ind w:firstLineChars="200" w:firstLine="640"/>
        <w:rPr>
          <w:rFonts w:ascii="方正仿宋_GBK" w:eastAsia="方正仿宋_GBK"/>
          <w:sz w:val="32"/>
        </w:rPr>
      </w:pPr>
      <w:r w:rsidRPr="000A7742">
        <w:rPr>
          <w:rFonts w:ascii="方正仿宋_GBK" w:eastAsia="方正仿宋_GBK" w:hint="eastAsia"/>
          <w:sz w:val="32"/>
        </w:rPr>
        <w:t>2021年我市上报的医疗器械不良事件报告所涉及的医疗器械分类目录，主要包括注输、护理和防护器械、</w:t>
      </w:r>
      <w:r w:rsidR="000A7742" w:rsidRPr="000A7742">
        <w:rPr>
          <w:rFonts w:ascii="方正仿宋_GBK" w:eastAsia="方正仿宋_GBK" w:hint="eastAsia"/>
          <w:sz w:val="32"/>
        </w:rPr>
        <w:t>物理治疗器械、医用诊察和监护器械</w:t>
      </w:r>
      <w:r w:rsidRPr="000A7742">
        <w:rPr>
          <w:rFonts w:ascii="方正仿宋_GBK" w:eastAsia="方正仿宋_GBK" w:hint="eastAsia"/>
          <w:sz w:val="32"/>
        </w:rPr>
        <w:t>等。报告数量前十的产品分类情况如表2-1所示。</w:t>
      </w:r>
    </w:p>
    <w:p w:rsidR="00175F6F" w:rsidRPr="001F01C1" w:rsidRDefault="00175F6F" w:rsidP="00175F6F">
      <w:pPr>
        <w:spacing w:line="360" w:lineRule="auto"/>
        <w:jc w:val="center"/>
        <w:rPr>
          <w:sz w:val="24"/>
        </w:rPr>
      </w:pPr>
      <w:r w:rsidRPr="001F01C1">
        <w:rPr>
          <w:rFonts w:hint="eastAsia"/>
          <w:szCs w:val="18"/>
        </w:rPr>
        <w:t>表</w:t>
      </w:r>
      <w:r w:rsidRPr="001F01C1">
        <w:rPr>
          <w:rFonts w:hint="eastAsia"/>
          <w:szCs w:val="18"/>
        </w:rPr>
        <w:t xml:space="preserve">2-1  </w:t>
      </w:r>
      <w:r w:rsidRPr="001F01C1">
        <w:rPr>
          <w:rFonts w:hint="eastAsia"/>
          <w:szCs w:val="18"/>
        </w:rPr>
        <w:t>报告数量前十的产品分类目录情况</w:t>
      </w:r>
    </w:p>
    <w:tbl>
      <w:tblPr>
        <w:tblW w:w="7599" w:type="dxa"/>
        <w:jc w:val="center"/>
        <w:tblInd w:w="1462" w:type="dxa"/>
        <w:tblLook w:val="04A0"/>
      </w:tblPr>
      <w:tblGrid>
        <w:gridCol w:w="737"/>
        <w:gridCol w:w="3935"/>
        <w:gridCol w:w="1673"/>
        <w:gridCol w:w="1254"/>
      </w:tblGrid>
      <w:tr w:rsidR="00175F6F" w:rsidRPr="001F01C1" w:rsidTr="00A212AB">
        <w:trPr>
          <w:trHeight w:val="288"/>
          <w:jc w:val="center"/>
        </w:trPr>
        <w:tc>
          <w:tcPr>
            <w:tcW w:w="737" w:type="dxa"/>
            <w:tcBorders>
              <w:top w:val="single" w:sz="4" w:space="0" w:color="auto"/>
              <w:left w:val="single" w:sz="4" w:space="0" w:color="auto"/>
              <w:bottom w:val="single" w:sz="4" w:space="0" w:color="auto"/>
              <w:right w:val="single" w:sz="4" w:space="0" w:color="auto"/>
            </w:tcBorders>
            <w:shd w:val="clear" w:color="auto" w:fill="F2F2F2"/>
          </w:tcPr>
          <w:p w:rsidR="00175F6F" w:rsidRPr="001F01C1" w:rsidRDefault="00175F6F" w:rsidP="00A212AB">
            <w:pPr>
              <w:jc w:val="center"/>
              <w:rPr>
                <w:rFonts w:ascii="方正仿宋_GBK" w:eastAsia="方正仿宋_GBK" w:hAnsi="宋体" w:cs="宋体"/>
                <w:b/>
                <w:kern w:val="0"/>
                <w:sz w:val="24"/>
              </w:rPr>
            </w:pPr>
            <w:r w:rsidRPr="001F01C1">
              <w:rPr>
                <w:rFonts w:ascii="方正仿宋_GBK" w:eastAsia="方正仿宋_GBK" w:hAnsi="宋体" w:cs="宋体" w:hint="eastAsia"/>
                <w:b/>
                <w:kern w:val="0"/>
                <w:sz w:val="24"/>
              </w:rPr>
              <w:t>序号</w:t>
            </w:r>
          </w:p>
        </w:tc>
        <w:tc>
          <w:tcPr>
            <w:tcW w:w="3935"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rsidR="00175F6F" w:rsidRPr="001F01C1" w:rsidRDefault="00175F6F" w:rsidP="00A212AB">
            <w:pPr>
              <w:jc w:val="center"/>
              <w:rPr>
                <w:rFonts w:ascii="方正仿宋_GBK" w:eastAsia="方正仿宋_GBK" w:hAnsi="宋体" w:cs="宋体"/>
                <w:b/>
                <w:kern w:val="0"/>
                <w:sz w:val="24"/>
              </w:rPr>
            </w:pPr>
            <w:r w:rsidRPr="001F01C1">
              <w:rPr>
                <w:rFonts w:ascii="方正仿宋_GBK" w:eastAsia="方正仿宋_GBK" w:hAnsi="宋体" w:cs="宋体" w:hint="eastAsia"/>
                <w:b/>
                <w:kern w:val="0"/>
                <w:sz w:val="24"/>
              </w:rPr>
              <w:t>产品分类</w:t>
            </w:r>
          </w:p>
        </w:tc>
        <w:tc>
          <w:tcPr>
            <w:tcW w:w="1673" w:type="dxa"/>
            <w:tcBorders>
              <w:top w:val="single" w:sz="4" w:space="0" w:color="auto"/>
              <w:left w:val="nil"/>
              <w:bottom w:val="single" w:sz="4" w:space="0" w:color="auto"/>
              <w:right w:val="single" w:sz="4" w:space="0" w:color="auto"/>
            </w:tcBorders>
            <w:shd w:val="clear" w:color="auto" w:fill="F2F2F2"/>
            <w:noWrap/>
            <w:vAlign w:val="center"/>
            <w:hideMark/>
          </w:tcPr>
          <w:p w:rsidR="00175F6F" w:rsidRPr="001F01C1" w:rsidRDefault="00175F6F" w:rsidP="00A212AB">
            <w:pPr>
              <w:jc w:val="center"/>
              <w:rPr>
                <w:rFonts w:ascii="方正仿宋_GBK" w:eastAsia="方正仿宋_GBK" w:hAnsi="宋体" w:cs="宋体"/>
                <w:b/>
                <w:kern w:val="0"/>
                <w:sz w:val="24"/>
              </w:rPr>
            </w:pPr>
            <w:r w:rsidRPr="001F01C1">
              <w:rPr>
                <w:rFonts w:ascii="方正仿宋_GBK" w:eastAsia="方正仿宋_GBK" w:hAnsi="宋体" w:cs="宋体" w:hint="eastAsia"/>
                <w:b/>
                <w:kern w:val="0"/>
                <w:sz w:val="24"/>
              </w:rPr>
              <w:t>报告数量</w:t>
            </w:r>
          </w:p>
        </w:tc>
        <w:tc>
          <w:tcPr>
            <w:tcW w:w="1254" w:type="dxa"/>
            <w:tcBorders>
              <w:top w:val="single" w:sz="4" w:space="0" w:color="auto"/>
              <w:left w:val="nil"/>
              <w:bottom w:val="single" w:sz="4" w:space="0" w:color="auto"/>
              <w:right w:val="single" w:sz="4" w:space="0" w:color="auto"/>
            </w:tcBorders>
            <w:shd w:val="clear" w:color="auto" w:fill="F2F2F2"/>
          </w:tcPr>
          <w:p w:rsidR="00175F6F" w:rsidRPr="001F01C1" w:rsidRDefault="00175F6F" w:rsidP="00A212AB">
            <w:pPr>
              <w:jc w:val="center"/>
              <w:rPr>
                <w:rFonts w:ascii="方正仿宋_GBK" w:eastAsia="方正仿宋_GBK" w:hAnsi="宋体" w:cs="宋体"/>
                <w:b/>
                <w:kern w:val="0"/>
                <w:sz w:val="24"/>
              </w:rPr>
            </w:pPr>
            <w:r w:rsidRPr="001F01C1">
              <w:rPr>
                <w:rFonts w:ascii="方正仿宋_GBK" w:eastAsia="方正仿宋_GBK" w:hAnsi="宋体" w:cs="宋体" w:hint="eastAsia"/>
                <w:b/>
                <w:kern w:val="0"/>
                <w:sz w:val="24"/>
              </w:rPr>
              <w:t>百分比</w:t>
            </w:r>
          </w:p>
        </w:tc>
      </w:tr>
      <w:tr w:rsidR="00705E2D"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t>1</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1394814639"/>
              <w:rPr>
                <w:rFonts w:ascii="方正仿宋_GBK" w:eastAsia="方正仿宋_GBK" w:hAnsi="宋体" w:cs="宋体"/>
                <w:kern w:val="0"/>
                <w:sz w:val="24"/>
              </w:rPr>
            </w:pPr>
            <w:r w:rsidRPr="001F01C1">
              <w:rPr>
                <w:rFonts w:ascii="方正仿宋_GBK" w:eastAsia="方正仿宋_GBK" w:hAnsi="宋体" w:cs="宋体"/>
                <w:kern w:val="0"/>
                <w:sz w:val="24"/>
              </w:rPr>
              <w:t>14注输、护理和防护器械</w:t>
            </w:r>
          </w:p>
        </w:tc>
        <w:tc>
          <w:tcPr>
            <w:tcW w:w="1673" w:type="dxa"/>
            <w:tcBorders>
              <w:top w:val="nil"/>
              <w:left w:val="nil"/>
              <w:bottom w:val="single" w:sz="4" w:space="0" w:color="auto"/>
              <w:right w:val="single" w:sz="4" w:space="0" w:color="auto"/>
            </w:tcBorders>
            <w:shd w:val="clear" w:color="auto" w:fill="auto"/>
            <w:noWrap/>
            <w:vAlign w:val="center"/>
            <w:hideMark/>
          </w:tcPr>
          <w:p w:rsidR="00705E2D" w:rsidRPr="001F01C1" w:rsidRDefault="00705E2D">
            <w:pPr>
              <w:jc w:val="center"/>
              <w:divId w:val="234828154"/>
              <w:rPr>
                <w:rFonts w:ascii="方正仿宋_GBK" w:eastAsia="方正仿宋_GBK" w:hAnsi="宋体" w:cs="宋体"/>
                <w:kern w:val="0"/>
                <w:sz w:val="24"/>
              </w:rPr>
            </w:pPr>
            <w:r w:rsidRPr="001F01C1">
              <w:rPr>
                <w:rFonts w:ascii="方正仿宋_GBK" w:eastAsia="方正仿宋_GBK" w:hAnsi="宋体" w:cs="宋体"/>
                <w:kern w:val="0"/>
                <w:sz w:val="24"/>
              </w:rPr>
              <w:t>5650</w:t>
            </w:r>
          </w:p>
        </w:tc>
        <w:tc>
          <w:tcPr>
            <w:tcW w:w="1254" w:type="dxa"/>
            <w:tcBorders>
              <w:top w:val="nil"/>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50.01%</w:t>
            </w:r>
          </w:p>
        </w:tc>
      </w:tr>
      <w:tr w:rsidR="00705E2D"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t>2</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147329900"/>
              <w:rPr>
                <w:rFonts w:ascii="方正仿宋_GBK" w:eastAsia="方正仿宋_GBK" w:hAnsi="宋体" w:cs="宋体"/>
                <w:kern w:val="0"/>
                <w:sz w:val="24"/>
              </w:rPr>
            </w:pPr>
            <w:r w:rsidRPr="001F01C1">
              <w:rPr>
                <w:rFonts w:ascii="方正仿宋_GBK" w:eastAsia="方正仿宋_GBK" w:hAnsi="宋体" w:cs="宋体"/>
                <w:kern w:val="0"/>
                <w:sz w:val="24"/>
              </w:rPr>
              <w:t>09物理治疗器械</w:t>
            </w:r>
          </w:p>
        </w:tc>
        <w:tc>
          <w:tcPr>
            <w:tcW w:w="1673" w:type="dxa"/>
            <w:tcBorders>
              <w:top w:val="nil"/>
              <w:left w:val="nil"/>
              <w:bottom w:val="single" w:sz="4" w:space="0" w:color="auto"/>
              <w:right w:val="single" w:sz="4" w:space="0" w:color="auto"/>
            </w:tcBorders>
            <w:shd w:val="clear" w:color="auto" w:fill="auto"/>
            <w:noWrap/>
            <w:vAlign w:val="center"/>
            <w:hideMark/>
          </w:tcPr>
          <w:p w:rsidR="00705E2D" w:rsidRPr="001F01C1" w:rsidRDefault="00705E2D">
            <w:pPr>
              <w:jc w:val="center"/>
              <w:divId w:val="490564011"/>
              <w:rPr>
                <w:rFonts w:ascii="方正仿宋_GBK" w:eastAsia="方正仿宋_GBK" w:hAnsi="宋体" w:cs="宋体"/>
                <w:kern w:val="0"/>
                <w:sz w:val="24"/>
              </w:rPr>
            </w:pPr>
            <w:r w:rsidRPr="001F01C1">
              <w:rPr>
                <w:rFonts w:ascii="方正仿宋_GBK" w:eastAsia="方正仿宋_GBK" w:hAnsi="宋体" w:cs="宋体"/>
                <w:kern w:val="0"/>
                <w:sz w:val="24"/>
              </w:rPr>
              <w:t>803</w:t>
            </w:r>
          </w:p>
        </w:tc>
        <w:tc>
          <w:tcPr>
            <w:tcW w:w="1254" w:type="dxa"/>
            <w:tcBorders>
              <w:top w:val="nil"/>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7.11%</w:t>
            </w:r>
          </w:p>
        </w:tc>
      </w:tr>
      <w:tr w:rsidR="00705E2D"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t>3</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735711651"/>
              <w:rPr>
                <w:rFonts w:ascii="方正仿宋_GBK" w:eastAsia="方正仿宋_GBK" w:hAnsi="宋体" w:cs="宋体"/>
                <w:kern w:val="0"/>
                <w:sz w:val="24"/>
              </w:rPr>
            </w:pPr>
            <w:r w:rsidRPr="001F01C1">
              <w:rPr>
                <w:rFonts w:ascii="方正仿宋_GBK" w:eastAsia="方正仿宋_GBK" w:hAnsi="宋体" w:cs="宋体"/>
                <w:kern w:val="0"/>
                <w:sz w:val="24"/>
              </w:rPr>
              <w:t>07医用诊察和监护器械</w:t>
            </w:r>
          </w:p>
        </w:tc>
        <w:tc>
          <w:tcPr>
            <w:tcW w:w="1673" w:type="dxa"/>
            <w:tcBorders>
              <w:top w:val="nil"/>
              <w:left w:val="nil"/>
              <w:bottom w:val="single" w:sz="4" w:space="0" w:color="auto"/>
              <w:right w:val="single" w:sz="4" w:space="0" w:color="auto"/>
            </w:tcBorders>
            <w:shd w:val="clear" w:color="auto" w:fill="auto"/>
            <w:noWrap/>
            <w:vAlign w:val="center"/>
            <w:hideMark/>
          </w:tcPr>
          <w:p w:rsidR="00705E2D" w:rsidRPr="001F01C1" w:rsidRDefault="00705E2D">
            <w:pPr>
              <w:jc w:val="center"/>
              <w:divId w:val="717899963"/>
              <w:rPr>
                <w:rFonts w:ascii="方正仿宋_GBK" w:eastAsia="方正仿宋_GBK" w:hAnsi="宋体" w:cs="宋体"/>
                <w:kern w:val="0"/>
                <w:sz w:val="24"/>
              </w:rPr>
            </w:pPr>
            <w:r w:rsidRPr="001F01C1">
              <w:rPr>
                <w:rFonts w:ascii="方正仿宋_GBK" w:eastAsia="方正仿宋_GBK" w:hAnsi="宋体" w:cs="宋体"/>
                <w:kern w:val="0"/>
                <w:sz w:val="24"/>
              </w:rPr>
              <w:t>769</w:t>
            </w:r>
          </w:p>
        </w:tc>
        <w:tc>
          <w:tcPr>
            <w:tcW w:w="1254" w:type="dxa"/>
            <w:tcBorders>
              <w:top w:val="nil"/>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6.81%</w:t>
            </w:r>
          </w:p>
        </w:tc>
      </w:tr>
      <w:tr w:rsidR="00705E2D"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t>4</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1429809181"/>
              <w:rPr>
                <w:rFonts w:ascii="方正仿宋_GBK" w:eastAsia="方正仿宋_GBK" w:hAnsi="宋体" w:cs="宋体"/>
                <w:kern w:val="0"/>
                <w:sz w:val="24"/>
              </w:rPr>
            </w:pPr>
            <w:r w:rsidRPr="001F01C1">
              <w:rPr>
                <w:rFonts w:ascii="方正仿宋_GBK" w:eastAsia="方正仿宋_GBK" w:hAnsi="宋体" w:cs="宋体"/>
                <w:kern w:val="0"/>
                <w:sz w:val="24"/>
              </w:rPr>
              <w:t>22临床检验器械</w:t>
            </w:r>
          </w:p>
        </w:tc>
        <w:tc>
          <w:tcPr>
            <w:tcW w:w="1673" w:type="dxa"/>
            <w:tcBorders>
              <w:top w:val="nil"/>
              <w:left w:val="nil"/>
              <w:bottom w:val="single" w:sz="4" w:space="0" w:color="auto"/>
              <w:right w:val="single" w:sz="4" w:space="0" w:color="auto"/>
            </w:tcBorders>
            <w:shd w:val="clear" w:color="auto" w:fill="auto"/>
            <w:noWrap/>
            <w:vAlign w:val="center"/>
            <w:hideMark/>
          </w:tcPr>
          <w:p w:rsidR="00705E2D" w:rsidRPr="001F01C1" w:rsidRDefault="00705E2D">
            <w:pPr>
              <w:jc w:val="center"/>
              <w:divId w:val="1897275788"/>
              <w:rPr>
                <w:rFonts w:ascii="方正仿宋_GBK" w:eastAsia="方正仿宋_GBK" w:hAnsi="宋体" w:cs="宋体"/>
                <w:kern w:val="0"/>
                <w:sz w:val="24"/>
              </w:rPr>
            </w:pPr>
            <w:r w:rsidRPr="001F01C1">
              <w:rPr>
                <w:rFonts w:ascii="方正仿宋_GBK" w:eastAsia="方正仿宋_GBK" w:hAnsi="宋体" w:cs="宋体"/>
                <w:kern w:val="0"/>
                <w:sz w:val="24"/>
              </w:rPr>
              <w:t>660</w:t>
            </w:r>
          </w:p>
        </w:tc>
        <w:tc>
          <w:tcPr>
            <w:tcW w:w="1254" w:type="dxa"/>
            <w:tcBorders>
              <w:top w:val="nil"/>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5.84%</w:t>
            </w:r>
          </w:p>
        </w:tc>
      </w:tr>
      <w:tr w:rsidR="00705E2D" w:rsidRPr="00694911" w:rsidTr="008A4219">
        <w:trPr>
          <w:trHeight w:val="288"/>
          <w:jc w:val="center"/>
        </w:trPr>
        <w:tc>
          <w:tcPr>
            <w:tcW w:w="737" w:type="dxa"/>
            <w:tcBorders>
              <w:top w:val="nil"/>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t>5</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1882551341"/>
              <w:rPr>
                <w:rFonts w:ascii="方正仿宋_GBK" w:eastAsia="方正仿宋_GBK" w:hAnsi="宋体" w:cs="宋体"/>
                <w:kern w:val="0"/>
                <w:sz w:val="24"/>
              </w:rPr>
            </w:pPr>
            <w:r w:rsidRPr="001F01C1">
              <w:rPr>
                <w:rFonts w:ascii="方正仿宋_GBK" w:eastAsia="方正仿宋_GBK" w:hAnsi="宋体" w:cs="宋体"/>
                <w:kern w:val="0"/>
                <w:sz w:val="24"/>
              </w:rPr>
              <w:t>08呼吸、麻醉和急救器械</w:t>
            </w:r>
          </w:p>
        </w:tc>
        <w:tc>
          <w:tcPr>
            <w:tcW w:w="1673" w:type="dxa"/>
            <w:tcBorders>
              <w:top w:val="nil"/>
              <w:left w:val="nil"/>
              <w:bottom w:val="single" w:sz="4" w:space="0" w:color="auto"/>
              <w:right w:val="single" w:sz="4" w:space="0" w:color="auto"/>
            </w:tcBorders>
            <w:shd w:val="clear" w:color="auto" w:fill="auto"/>
            <w:noWrap/>
            <w:vAlign w:val="center"/>
            <w:hideMark/>
          </w:tcPr>
          <w:p w:rsidR="00705E2D" w:rsidRPr="001F01C1" w:rsidRDefault="00705E2D">
            <w:pPr>
              <w:jc w:val="center"/>
              <w:divId w:val="242296631"/>
              <w:rPr>
                <w:rFonts w:ascii="方正仿宋_GBK" w:eastAsia="方正仿宋_GBK" w:hAnsi="宋体" w:cs="宋体"/>
                <w:kern w:val="0"/>
                <w:sz w:val="24"/>
              </w:rPr>
            </w:pPr>
            <w:r w:rsidRPr="001F01C1">
              <w:rPr>
                <w:rFonts w:ascii="方正仿宋_GBK" w:eastAsia="方正仿宋_GBK" w:hAnsi="宋体" w:cs="宋体"/>
                <w:kern w:val="0"/>
                <w:sz w:val="24"/>
              </w:rPr>
              <w:t>629</w:t>
            </w:r>
          </w:p>
        </w:tc>
        <w:tc>
          <w:tcPr>
            <w:tcW w:w="1254" w:type="dxa"/>
            <w:tcBorders>
              <w:top w:val="nil"/>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5.57%</w:t>
            </w:r>
          </w:p>
        </w:tc>
      </w:tr>
      <w:tr w:rsidR="00705E2D" w:rsidRPr="00694911" w:rsidTr="008A4219">
        <w:trPr>
          <w:trHeight w:val="288"/>
          <w:jc w:val="center"/>
        </w:trPr>
        <w:tc>
          <w:tcPr>
            <w:tcW w:w="737" w:type="dxa"/>
            <w:tcBorders>
              <w:top w:val="single" w:sz="4" w:space="0" w:color="auto"/>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t>6</w:t>
            </w:r>
          </w:p>
        </w:tc>
        <w:tc>
          <w:tcPr>
            <w:tcW w:w="39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1946228869"/>
              <w:rPr>
                <w:rFonts w:ascii="方正仿宋_GBK" w:eastAsia="方正仿宋_GBK" w:hAnsi="宋体" w:cs="宋体"/>
                <w:kern w:val="0"/>
                <w:sz w:val="24"/>
              </w:rPr>
            </w:pPr>
            <w:r w:rsidRPr="001F01C1">
              <w:rPr>
                <w:rFonts w:ascii="方正仿宋_GBK" w:eastAsia="方正仿宋_GBK" w:hAnsi="宋体" w:cs="宋体"/>
                <w:kern w:val="0"/>
                <w:sz w:val="24"/>
              </w:rPr>
              <w:t>16眼科器械</w:t>
            </w:r>
          </w:p>
        </w:tc>
        <w:tc>
          <w:tcPr>
            <w:tcW w:w="1673" w:type="dxa"/>
            <w:tcBorders>
              <w:top w:val="single" w:sz="4" w:space="0" w:color="auto"/>
              <w:left w:val="nil"/>
              <w:bottom w:val="single" w:sz="4" w:space="0" w:color="auto"/>
              <w:right w:val="single" w:sz="4" w:space="0" w:color="auto"/>
            </w:tcBorders>
            <w:shd w:val="clear" w:color="auto" w:fill="auto"/>
            <w:noWrap/>
            <w:vAlign w:val="center"/>
            <w:hideMark/>
          </w:tcPr>
          <w:p w:rsidR="00705E2D" w:rsidRPr="001F01C1" w:rsidRDefault="00705E2D">
            <w:pPr>
              <w:jc w:val="center"/>
              <w:divId w:val="1021931050"/>
              <w:rPr>
                <w:rFonts w:ascii="方正仿宋_GBK" w:eastAsia="方正仿宋_GBK" w:hAnsi="宋体" w:cs="宋体"/>
                <w:kern w:val="0"/>
                <w:sz w:val="24"/>
              </w:rPr>
            </w:pPr>
            <w:r w:rsidRPr="001F01C1">
              <w:rPr>
                <w:rFonts w:ascii="方正仿宋_GBK" w:eastAsia="方正仿宋_GBK" w:hAnsi="宋体" w:cs="宋体"/>
                <w:kern w:val="0"/>
                <w:sz w:val="24"/>
              </w:rPr>
              <w:t>338</w:t>
            </w:r>
          </w:p>
        </w:tc>
        <w:tc>
          <w:tcPr>
            <w:tcW w:w="1254" w:type="dxa"/>
            <w:tcBorders>
              <w:top w:val="single" w:sz="4" w:space="0" w:color="auto"/>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2.99%</w:t>
            </w:r>
          </w:p>
        </w:tc>
      </w:tr>
      <w:tr w:rsidR="00705E2D" w:rsidRPr="00694911" w:rsidTr="008A4219">
        <w:trPr>
          <w:trHeight w:val="288"/>
          <w:jc w:val="center"/>
        </w:trPr>
        <w:tc>
          <w:tcPr>
            <w:tcW w:w="737" w:type="dxa"/>
            <w:tcBorders>
              <w:top w:val="single" w:sz="4" w:space="0" w:color="auto"/>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t>7</w:t>
            </w:r>
          </w:p>
        </w:tc>
        <w:tc>
          <w:tcPr>
            <w:tcW w:w="39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234633699"/>
              <w:rPr>
                <w:rFonts w:ascii="方正仿宋_GBK" w:eastAsia="方正仿宋_GBK" w:hAnsi="宋体" w:cs="宋体"/>
                <w:kern w:val="0"/>
                <w:sz w:val="24"/>
              </w:rPr>
            </w:pPr>
            <w:r w:rsidRPr="001F01C1">
              <w:rPr>
                <w:rFonts w:ascii="方正仿宋_GBK" w:eastAsia="方正仿宋_GBK" w:hAnsi="宋体" w:cs="宋体"/>
                <w:kern w:val="0"/>
                <w:sz w:val="24"/>
              </w:rPr>
              <w:t>02无源手术器械</w:t>
            </w:r>
          </w:p>
        </w:tc>
        <w:tc>
          <w:tcPr>
            <w:tcW w:w="1673" w:type="dxa"/>
            <w:tcBorders>
              <w:top w:val="single" w:sz="4" w:space="0" w:color="auto"/>
              <w:left w:val="nil"/>
              <w:bottom w:val="single" w:sz="4" w:space="0" w:color="auto"/>
              <w:right w:val="single" w:sz="4" w:space="0" w:color="auto"/>
            </w:tcBorders>
            <w:shd w:val="clear" w:color="auto" w:fill="auto"/>
            <w:noWrap/>
            <w:vAlign w:val="center"/>
            <w:hideMark/>
          </w:tcPr>
          <w:p w:rsidR="00705E2D" w:rsidRPr="001F01C1" w:rsidRDefault="00705E2D">
            <w:pPr>
              <w:jc w:val="center"/>
              <w:divId w:val="1678924587"/>
              <w:rPr>
                <w:rFonts w:ascii="方正仿宋_GBK" w:eastAsia="方正仿宋_GBK" w:hAnsi="宋体" w:cs="宋体"/>
                <w:kern w:val="0"/>
                <w:sz w:val="24"/>
              </w:rPr>
            </w:pPr>
            <w:r w:rsidRPr="001F01C1">
              <w:rPr>
                <w:rFonts w:ascii="方正仿宋_GBK" w:eastAsia="方正仿宋_GBK" w:hAnsi="宋体" w:cs="宋体"/>
                <w:kern w:val="0"/>
                <w:sz w:val="24"/>
              </w:rPr>
              <w:t>326</w:t>
            </w:r>
          </w:p>
        </w:tc>
        <w:tc>
          <w:tcPr>
            <w:tcW w:w="1254" w:type="dxa"/>
            <w:tcBorders>
              <w:top w:val="single" w:sz="4" w:space="0" w:color="auto"/>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2.89%</w:t>
            </w:r>
          </w:p>
        </w:tc>
      </w:tr>
      <w:tr w:rsidR="00705E2D"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lastRenderedPageBreak/>
              <w:t>8</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375857976"/>
              <w:rPr>
                <w:rFonts w:ascii="方正仿宋_GBK" w:eastAsia="方正仿宋_GBK" w:hAnsi="宋体" w:cs="宋体"/>
                <w:kern w:val="0"/>
                <w:sz w:val="24"/>
              </w:rPr>
            </w:pPr>
            <w:r w:rsidRPr="001F01C1">
              <w:rPr>
                <w:rFonts w:ascii="方正仿宋_GBK" w:eastAsia="方正仿宋_GBK" w:hAnsi="宋体" w:cs="宋体"/>
                <w:kern w:val="0"/>
                <w:sz w:val="24"/>
              </w:rPr>
              <w:t>20中医器械</w:t>
            </w:r>
          </w:p>
        </w:tc>
        <w:tc>
          <w:tcPr>
            <w:tcW w:w="1673" w:type="dxa"/>
            <w:tcBorders>
              <w:top w:val="nil"/>
              <w:left w:val="nil"/>
              <w:bottom w:val="single" w:sz="4" w:space="0" w:color="auto"/>
              <w:right w:val="single" w:sz="4" w:space="0" w:color="auto"/>
            </w:tcBorders>
            <w:shd w:val="clear" w:color="auto" w:fill="auto"/>
            <w:noWrap/>
            <w:vAlign w:val="center"/>
            <w:hideMark/>
          </w:tcPr>
          <w:p w:rsidR="00705E2D" w:rsidRPr="001F01C1" w:rsidRDefault="00705E2D">
            <w:pPr>
              <w:jc w:val="center"/>
              <w:divId w:val="814298314"/>
              <w:rPr>
                <w:rFonts w:ascii="方正仿宋_GBK" w:eastAsia="方正仿宋_GBK" w:hAnsi="宋体" w:cs="宋体"/>
                <w:kern w:val="0"/>
                <w:sz w:val="24"/>
              </w:rPr>
            </w:pPr>
            <w:r w:rsidRPr="001F01C1">
              <w:rPr>
                <w:rFonts w:ascii="方正仿宋_GBK" w:eastAsia="方正仿宋_GBK" w:hAnsi="宋体" w:cs="宋体"/>
                <w:kern w:val="0"/>
                <w:sz w:val="24"/>
              </w:rPr>
              <w:t>277</w:t>
            </w:r>
          </w:p>
        </w:tc>
        <w:tc>
          <w:tcPr>
            <w:tcW w:w="1254" w:type="dxa"/>
            <w:tcBorders>
              <w:top w:val="nil"/>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2.45%</w:t>
            </w:r>
          </w:p>
        </w:tc>
      </w:tr>
      <w:tr w:rsidR="00705E2D"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t>9</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1388147483"/>
              <w:rPr>
                <w:rFonts w:ascii="方正仿宋_GBK" w:eastAsia="方正仿宋_GBK" w:hAnsi="宋体" w:cs="宋体"/>
                <w:kern w:val="0"/>
                <w:sz w:val="24"/>
              </w:rPr>
            </w:pPr>
            <w:r w:rsidRPr="001F01C1">
              <w:rPr>
                <w:rFonts w:ascii="方正仿宋_GBK" w:eastAsia="方正仿宋_GBK" w:hAnsi="宋体" w:cs="宋体"/>
                <w:kern w:val="0"/>
                <w:sz w:val="24"/>
              </w:rPr>
              <w:t>18妇产科、辅助生殖和避孕器械</w:t>
            </w:r>
          </w:p>
        </w:tc>
        <w:tc>
          <w:tcPr>
            <w:tcW w:w="1673" w:type="dxa"/>
            <w:tcBorders>
              <w:top w:val="nil"/>
              <w:left w:val="nil"/>
              <w:bottom w:val="single" w:sz="4" w:space="0" w:color="auto"/>
              <w:right w:val="single" w:sz="4" w:space="0" w:color="auto"/>
            </w:tcBorders>
            <w:shd w:val="clear" w:color="auto" w:fill="auto"/>
            <w:noWrap/>
            <w:vAlign w:val="center"/>
            <w:hideMark/>
          </w:tcPr>
          <w:p w:rsidR="00705E2D" w:rsidRPr="001F01C1" w:rsidRDefault="00705E2D">
            <w:pPr>
              <w:jc w:val="center"/>
              <w:divId w:val="143859373"/>
              <w:rPr>
                <w:rFonts w:ascii="方正仿宋_GBK" w:eastAsia="方正仿宋_GBK" w:hAnsi="宋体" w:cs="宋体"/>
                <w:kern w:val="0"/>
                <w:sz w:val="24"/>
              </w:rPr>
            </w:pPr>
            <w:r w:rsidRPr="001F01C1">
              <w:rPr>
                <w:rFonts w:ascii="方正仿宋_GBK" w:eastAsia="方正仿宋_GBK" w:hAnsi="宋体" w:cs="宋体"/>
                <w:kern w:val="0"/>
                <w:sz w:val="24"/>
              </w:rPr>
              <w:t>272</w:t>
            </w:r>
          </w:p>
        </w:tc>
        <w:tc>
          <w:tcPr>
            <w:tcW w:w="1254" w:type="dxa"/>
            <w:tcBorders>
              <w:top w:val="nil"/>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2.41%</w:t>
            </w:r>
          </w:p>
        </w:tc>
      </w:tr>
      <w:tr w:rsidR="00705E2D"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705E2D" w:rsidRPr="001F01C1" w:rsidRDefault="00705E2D" w:rsidP="00A212AB">
            <w:pPr>
              <w:jc w:val="center"/>
              <w:rPr>
                <w:rFonts w:ascii="方正仿宋_GBK" w:eastAsia="方正仿宋_GBK" w:hAnsi="宋体" w:cs="宋体"/>
                <w:kern w:val="0"/>
                <w:sz w:val="24"/>
              </w:rPr>
            </w:pPr>
            <w:r w:rsidRPr="001F01C1">
              <w:rPr>
                <w:rFonts w:ascii="方正仿宋_GBK" w:eastAsia="方正仿宋_GBK" w:hAnsi="宋体" w:cs="宋体" w:hint="eastAsia"/>
                <w:kern w:val="0"/>
                <w:sz w:val="24"/>
              </w:rPr>
              <w:t>10</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705E2D" w:rsidRPr="001F01C1" w:rsidRDefault="00705E2D" w:rsidP="009843FA">
            <w:pPr>
              <w:jc w:val="center"/>
              <w:divId w:val="1025717132"/>
              <w:rPr>
                <w:rFonts w:ascii="方正仿宋_GBK" w:eastAsia="方正仿宋_GBK" w:hAnsi="宋体" w:cs="宋体"/>
                <w:kern w:val="0"/>
                <w:sz w:val="24"/>
              </w:rPr>
            </w:pPr>
            <w:r w:rsidRPr="001F01C1">
              <w:rPr>
                <w:rFonts w:ascii="方正仿宋_GBK" w:eastAsia="方正仿宋_GBK" w:hAnsi="宋体" w:cs="宋体"/>
                <w:kern w:val="0"/>
                <w:sz w:val="24"/>
              </w:rPr>
              <w:t>06医用成像器械</w:t>
            </w:r>
          </w:p>
        </w:tc>
        <w:tc>
          <w:tcPr>
            <w:tcW w:w="1673" w:type="dxa"/>
            <w:tcBorders>
              <w:top w:val="nil"/>
              <w:left w:val="nil"/>
              <w:bottom w:val="single" w:sz="4" w:space="0" w:color="auto"/>
              <w:right w:val="single" w:sz="4" w:space="0" w:color="auto"/>
            </w:tcBorders>
            <w:shd w:val="clear" w:color="auto" w:fill="auto"/>
            <w:noWrap/>
            <w:vAlign w:val="center"/>
            <w:hideMark/>
          </w:tcPr>
          <w:p w:rsidR="00705E2D" w:rsidRPr="001F01C1" w:rsidRDefault="00705E2D">
            <w:pPr>
              <w:jc w:val="center"/>
              <w:divId w:val="420490038"/>
              <w:rPr>
                <w:rFonts w:ascii="方正仿宋_GBK" w:eastAsia="方正仿宋_GBK" w:hAnsi="宋体" w:cs="宋体"/>
                <w:kern w:val="0"/>
                <w:sz w:val="24"/>
              </w:rPr>
            </w:pPr>
            <w:r w:rsidRPr="001F01C1">
              <w:rPr>
                <w:rFonts w:ascii="方正仿宋_GBK" w:eastAsia="方正仿宋_GBK" w:hAnsi="宋体" w:cs="宋体"/>
                <w:kern w:val="0"/>
                <w:sz w:val="24"/>
              </w:rPr>
              <w:t>244</w:t>
            </w:r>
          </w:p>
        </w:tc>
        <w:tc>
          <w:tcPr>
            <w:tcW w:w="1254" w:type="dxa"/>
            <w:tcBorders>
              <w:top w:val="nil"/>
              <w:left w:val="nil"/>
              <w:bottom w:val="single" w:sz="4" w:space="0" w:color="auto"/>
              <w:right w:val="single" w:sz="4" w:space="0" w:color="auto"/>
            </w:tcBorders>
            <w:vAlign w:val="center"/>
          </w:tcPr>
          <w:p w:rsidR="00705E2D" w:rsidRPr="00705E2D" w:rsidRDefault="00705E2D" w:rsidP="00705E2D">
            <w:pPr>
              <w:jc w:val="center"/>
              <w:rPr>
                <w:rFonts w:ascii="方正仿宋_GBK" w:eastAsia="方正仿宋_GBK" w:hAnsi="宋体" w:cs="宋体"/>
                <w:kern w:val="0"/>
                <w:sz w:val="24"/>
              </w:rPr>
            </w:pPr>
            <w:r w:rsidRPr="00705E2D">
              <w:rPr>
                <w:rFonts w:ascii="方正仿宋_GBK" w:eastAsia="方正仿宋_GBK" w:hAnsi="宋体" w:cs="宋体" w:hint="eastAsia"/>
                <w:kern w:val="0"/>
                <w:sz w:val="24"/>
              </w:rPr>
              <w:t>2.16%</w:t>
            </w:r>
          </w:p>
        </w:tc>
      </w:tr>
    </w:tbl>
    <w:p w:rsidR="00175F6F" w:rsidRPr="00E57460" w:rsidRDefault="000A18BA" w:rsidP="00303EC0">
      <w:pPr>
        <w:spacing w:line="360" w:lineRule="auto"/>
        <w:ind w:firstLineChars="200" w:firstLine="640"/>
        <w:rPr>
          <w:rFonts w:ascii="方正楷体_GBK" w:eastAsia="方正楷体_GBK"/>
          <w:b/>
          <w:sz w:val="32"/>
          <w:szCs w:val="32"/>
        </w:rPr>
      </w:pPr>
      <w:r w:rsidRPr="00303EC0">
        <w:rPr>
          <w:rFonts w:ascii="方正楷体_GBK" w:eastAsia="方正楷体_GBK" w:hint="eastAsia"/>
          <w:sz w:val="32"/>
          <w:szCs w:val="32"/>
        </w:rPr>
        <w:t>5</w:t>
      </w:r>
      <w:r w:rsidR="00175F6F" w:rsidRPr="00303EC0">
        <w:rPr>
          <w:rFonts w:ascii="方正楷体_GBK" w:eastAsia="方正楷体_GBK" w:hint="eastAsia"/>
          <w:sz w:val="32"/>
          <w:szCs w:val="32"/>
        </w:rPr>
        <w:t>、可疑医疗器械不良事件涉及产品名称情况分析</w:t>
      </w:r>
    </w:p>
    <w:p w:rsidR="00175F6F" w:rsidRPr="0018619C" w:rsidRDefault="00175F6F" w:rsidP="00E57460">
      <w:pPr>
        <w:spacing w:line="360" w:lineRule="auto"/>
        <w:ind w:firstLineChars="200" w:firstLine="640"/>
        <w:rPr>
          <w:rFonts w:ascii="方正仿宋_GBK" w:eastAsia="方正仿宋_GBK"/>
          <w:sz w:val="32"/>
        </w:rPr>
      </w:pPr>
      <w:r w:rsidRPr="0018619C">
        <w:rPr>
          <w:rFonts w:ascii="方正仿宋_GBK" w:eastAsia="方正仿宋_GBK" w:hint="eastAsia"/>
          <w:sz w:val="32"/>
        </w:rPr>
        <w:t>2021年我市上报的医疗器械不良事件报告所涉及的具体器械品种，主要集中在一次性使用耗材类产品中，包括一次性使用输液器、注射器、留置针，导尿管等。报告数量前十的产品情况如表2-</w:t>
      </w:r>
      <w:r w:rsidR="008C588C">
        <w:rPr>
          <w:rFonts w:ascii="方正仿宋_GBK" w:eastAsia="方正仿宋_GBK" w:hint="eastAsia"/>
          <w:sz w:val="32"/>
        </w:rPr>
        <w:t>2</w:t>
      </w:r>
      <w:r w:rsidRPr="0018619C">
        <w:rPr>
          <w:rFonts w:ascii="方正仿宋_GBK" w:eastAsia="方正仿宋_GBK" w:hint="eastAsia"/>
          <w:sz w:val="32"/>
        </w:rPr>
        <w:t>所示。</w:t>
      </w:r>
    </w:p>
    <w:p w:rsidR="00175F6F" w:rsidRPr="0018619C" w:rsidRDefault="00175F6F" w:rsidP="00175F6F">
      <w:pPr>
        <w:spacing w:line="360" w:lineRule="auto"/>
        <w:jc w:val="center"/>
        <w:rPr>
          <w:sz w:val="24"/>
        </w:rPr>
      </w:pPr>
      <w:r w:rsidRPr="0018619C">
        <w:rPr>
          <w:rFonts w:hint="eastAsia"/>
          <w:szCs w:val="18"/>
        </w:rPr>
        <w:t>表</w:t>
      </w:r>
      <w:r w:rsidRPr="0018619C">
        <w:rPr>
          <w:rFonts w:hint="eastAsia"/>
          <w:szCs w:val="18"/>
        </w:rPr>
        <w:t>2-</w:t>
      </w:r>
      <w:r w:rsidR="008C588C">
        <w:rPr>
          <w:rFonts w:hint="eastAsia"/>
          <w:szCs w:val="18"/>
        </w:rPr>
        <w:t>2</w:t>
      </w:r>
      <w:r w:rsidRPr="0018619C">
        <w:rPr>
          <w:rFonts w:hint="eastAsia"/>
          <w:szCs w:val="18"/>
        </w:rPr>
        <w:t xml:space="preserve">  </w:t>
      </w:r>
      <w:r w:rsidRPr="0018619C">
        <w:rPr>
          <w:rFonts w:hint="eastAsia"/>
          <w:szCs w:val="18"/>
        </w:rPr>
        <w:t>报告数量前十的产品情况</w:t>
      </w:r>
    </w:p>
    <w:tbl>
      <w:tblPr>
        <w:tblW w:w="7599" w:type="dxa"/>
        <w:jc w:val="center"/>
        <w:tblInd w:w="1462" w:type="dxa"/>
        <w:tblLook w:val="04A0"/>
      </w:tblPr>
      <w:tblGrid>
        <w:gridCol w:w="737"/>
        <w:gridCol w:w="3935"/>
        <w:gridCol w:w="1673"/>
        <w:gridCol w:w="1254"/>
      </w:tblGrid>
      <w:tr w:rsidR="00175F6F" w:rsidRPr="00694911" w:rsidTr="00A212AB">
        <w:trPr>
          <w:trHeight w:val="288"/>
          <w:jc w:val="center"/>
        </w:trPr>
        <w:tc>
          <w:tcPr>
            <w:tcW w:w="737" w:type="dxa"/>
            <w:tcBorders>
              <w:top w:val="single" w:sz="4" w:space="0" w:color="auto"/>
              <w:left w:val="single" w:sz="4" w:space="0" w:color="auto"/>
              <w:bottom w:val="single" w:sz="4" w:space="0" w:color="auto"/>
              <w:right w:val="single" w:sz="4" w:space="0" w:color="auto"/>
            </w:tcBorders>
            <w:shd w:val="clear" w:color="auto" w:fill="F2F2F2"/>
          </w:tcPr>
          <w:p w:rsidR="00175F6F" w:rsidRPr="0018619C" w:rsidRDefault="00175F6F" w:rsidP="00A212AB">
            <w:pPr>
              <w:jc w:val="center"/>
              <w:rPr>
                <w:rFonts w:ascii="方正仿宋_GBK" w:eastAsia="方正仿宋_GBK" w:hAnsi="宋体" w:cs="宋体"/>
                <w:b/>
                <w:kern w:val="0"/>
                <w:sz w:val="24"/>
              </w:rPr>
            </w:pPr>
            <w:r w:rsidRPr="0018619C">
              <w:rPr>
                <w:rFonts w:ascii="方正仿宋_GBK" w:eastAsia="方正仿宋_GBK" w:hAnsi="宋体" w:cs="宋体" w:hint="eastAsia"/>
                <w:b/>
                <w:kern w:val="0"/>
                <w:sz w:val="24"/>
              </w:rPr>
              <w:t>序号</w:t>
            </w:r>
          </w:p>
        </w:tc>
        <w:tc>
          <w:tcPr>
            <w:tcW w:w="3935"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rsidR="00175F6F" w:rsidRPr="0018619C" w:rsidRDefault="00175F6F" w:rsidP="00A212AB">
            <w:pPr>
              <w:jc w:val="center"/>
              <w:rPr>
                <w:rFonts w:ascii="方正仿宋_GBK" w:eastAsia="方正仿宋_GBK" w:hAnsi="宋体" w:cs="宋体"/>
                <w:b/>
                <w:kern w:val="0"/>
                <w:sz w:val="24"/>
              </w:rPr>
            </w:pPr>
            <w:r w:rsidRPr="0018619C">
              <w:rPr>
                <w:rFonts w:ascii="方正仿宋_GBK" w:eastAsia="方正仿宋_GBK" w:hAnsi="宋体" w:cs="宋体" w:hint="eastAsia"/>
                <w:b/>
                <w:kern w:val="0"/>
                <w:sz w:val="24"/>
              </w:rPr>
              <w:t>产品名称</w:t>
            </w:r>
          </w:p>
        </w:tc>
        <w:tc>
          <w:tcPr>
            <w:tcW w:w="1673" w:type="dxa"/>
            <w:tcBorders>
              <w:top w:val="single" w:sz="4" w:space="0" w:color="auto"/>
              <w:left w:val="nil"/>
              <w:bottom w:val="single" w:sz="4" w:space="0" w:color="auto"/>
              <w:right w:val="single" w:sz="4" w:space="0" w:color="auto"/>
            </w:tcBorders>
            <w:shd w:val="clear" w:color="auto" w:fill="F2F2F2"/>
            <w:noWrap/>
            <w:vAlign w:val="center"/>
            <w:hideMark/>
          </w:tcPr>
          <w:p w:rsidR="00175F6F" w:rsidRPr="0018619C" w:rsidRDefault="00175F6F" w:rsidP="00A212AB">
            <w:pPr>
              <w:jc w:val="center"/>
              <w:rPr>
                <w:rFonts w:ascii="方正仿宋_GBK" w:eastAsia="方正仿宋_GBK" w:hAnsi="宋体" w:cs="宋体"/>
                <w:b/>
                <w:kern w:val="0"/>
                <w:sz w:val="24"/>
              </w:rPr>
            </w:pPr>
            <w:r w:rsidRPr="0018619C">
              <w:rPr>
                <w:rFonts w:ascii="方正仿宋_GBK" w:eastAsia="方正仿宋_GBK" w:hAnsi="宋体" w:cs="宋体" w:hint="eastAsia"/>
                <w:b/>
                <w:kern w:val="0"/>
                <w:sz w:val="24"/>
              </w:rPr>
              <w:t>报告数量</w:t>
            </w:r>
          </w:p>
        </w:tc>
        <w:tc>
          <w:tcPr>
            <w:tcW w:w="1254" w:type="dxa"/>
            <w:tcBorders>
              <w:top w:val="single" w:sz="4" w:space="0" w:color="auto"/>
              <w:left w:val="nil"/>
              <w:bottom w:val="single" w:sz="4" w:space="0" w:color="auto"/>
              <w:right w:val="single" w:sz="4" w:space="0" w:color="auto"/>
            </w:tcBorders>
            <w:shd w:val="clear" w:color="auto" w:fill="F2F2F2"/>
          </w:tcPr>
          <w:p w:rsidR="00175F6F" w:rsidRPr="0018619C" w:rsidRDefault="00175F6F" w:rsidP="00A212AB">
            <w:pPr>
              <w:jc w:val="center"/>
              <w:rPr>
                <w:rFonts w:ascii="方正仿宋_GBK" w:eastAsia="方正仿宋_GBK" w:hAnsi="宋体" w:cs="宋体"/>
                <w:b/>
                <w:kern w:val="0"/>
                <w:sz w:val="24"/>
              </w:rPr>
            </w:pPr>
            <w:r w:rsidRPr="0018619C">
              <w:rPr>
                <w:rFonts w:ascii="方正仿宋_GBK" w:eastAsia="方正仿宋_GBK" w:hAnsi="宋体" w:cs="宋体" w:hint="eastAsia"/>
                <w:b/>
                <w:kern w:val="0"/>
                <w:sz w:val="24"/>
              </w:rPr>
              <w:t>百分比</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1</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 xml:space="preserve">一次性使用输液器 </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1309</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11.59%</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2</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 xml:space="preserve">一次性使用无菌注射器   </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594</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5.26%</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3</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一次性使用静脉留置针</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423</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3.74%</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4</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一次性使用无菌导尿管</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421</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3.73%</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5</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 xml:space="preserve">一次性使用配药注射器  </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377</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3.34%</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6</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软性亲水接触镜</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251</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2.22%</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7</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医用棉签</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185</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1.64%</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8</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一次性使用灭菌橡胶外科手套</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164</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1.45%</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9</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一次性使用心电电极</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154</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1.36%</w:t>
            </w:r>
          </w:p>
        </w:tc>
      </w:tr>
      <w:tr w:rsidR="00941F9E" w:rsidRPr="00694911" w:rsidTr="00A212AB">
        <w:trPr>
          <w:trHeight w:val="288"/>
          <w:jc w:val="center"/>
        </w:trPr>
        <w:tc>
          <w:tcPr>
            <w:tcW w:w="737" w:type="dxa"/>
            <w:tcBorders>
              <w:top w:val="nil"/>
              <w:left w:val="single" w:sz="4" w:space="0" w:color="auto"/>
              <w:bottom w:val="single" w:sz="4" w:space="0" w:color="auto"/>
              <w:right w:val="single" w:sz="4" w:space="0" w:color="auto"/>
            </w:tcBorders>
          </w:tcPr>
          <w:p w:rsidR="00941F9E" w:rsidRPr="0018619C" w:rsidRDefault="00941F9E" w:rsidP="00A212AB">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10</w:t>
            </w:r>
          </w:p>
        </w:tc>
        <w:tc>
          <w:tcPr>
            <w:tcW w:w="3935" w:type="dxa"/>
            <w:tcBorders>
              <w:top w:val="nil"/>
              <w:left w:val="single" w:sz="4" w:space="0" w:color="auto"/>
              <w:bottom w:val="single" w:sz="4" w:space="0" w:color="auto"/>
              <w:right w:val="single" w:sz="4" w:space="0" w:color="auto"/>
            </w:tcBorders>
            <w:shd w:val="clear" w:color="auto" w:fill="auto"/>
            <w:noWrap/>
            <w:vAlign w:val="center"/>
            <w:hideMark/>
          </w:tcPr>
          <w:p w:rsidR="00941F9E" w:rsidRPr="0018619C" w:rsidRDefault="00941F9E">
            <w:pPr>
              <w:jc w:val="center"/>
              <w:rPr>
                <w:rFonts w:ascii="方正仿宋_GBK" w:eastAsia="方正仿宋_GBK" w:hAnsi="宋体" w:cs="宋体"/>
                <w:kern w:val="0"/>
                <w:sz w:val="24"/>
              </w:rPr>
            </w:pPr>
            <w:r w:rsidRPr="0018619C">
              <w:rPr>
                <w:rFonts w:ascii="方正仿宋_GBK" w:eastAsia="方正仿宋_GBK" w:hAnsi="宋体" w:cs="宋体" w:hint="eastAsia"/>
                <w:kern w:val="0"/>
                <w:sz w:val="24"/>
              </w:rPr>
              <w:t>病人监护仪</w:t>
            </w:r>
          </w:p>
        </w:tc>
        <w:tc>
          <w:tcPr>
            <w:tcW w:w="1673" w:type="dxa"/>
            <w:tcBorders>
              <w:top w:val="nil"/>
              <w:left w:val="nil"/>
              <w:bottom w:val="single" w:sz="4" w:space="0" w:color="auto"/>
              <w:right w:val="single" w:sz="4" w:space="0" w:color="auto"/>
            </w:tcBorders>
            <w:shd w:val="clear" w:color="auto" w:fill="auto"/>
            <w:noWrap/>
            <w:vAlign w:val="center"/>
            <w:hideMark/>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129</w:t>
            </w:r>
          </w:p>
        </w:tc>
        <w:tc>
          <w:tcPr>
            <w:tcW w:w="1254" w:type="dxa"/>
            <w:tcBorders>
              <w:top w:val="nil"/>
              <w:left w:val="nil"/>
              <w:bottom w:val="single" w:sz="4" w:space="0" w:color="auto"/>
              <w:right w:val="single" w:sz="4" w:space="0" w:color="auto"/>
            </w:tcBorders>
            <w:vAlign w:val="center"/>
          </w:tcPr>
          <w:p w:rsidR="00941F9E" w:rsidRPr="00941F9E" w:rsidRDefault="00941F9E">
            <w:pPr>
              <w:jc w:val="center"/>
              <w:rPr>
                <w:rFonts w:ascii="方正仿宋_GBK" w:eastAsia="方正仿宋_GBK" w:hAnsi="宋体" w:cs="宋体"/>
                <w:kern w:val="0"/>
                <w:sz w:val="24"/>
              </w:rPr>
            </w:pPr>
            <w:r w:rsidRPr="00941F9E">
              <w:rPr>
                <w:rFonts w:ascii="方正仿宋_GBK" w:eastAsia="方正仿宋_GBK" w:hAnsi="宋体" w:cs="宋体" w:hint="eastAsia"/>
                <w:kern w:val="0"/>
                <w:sz w:val="24"/>
              </w:rPr>
              <w:t>1.14%</w:t>
            </w:r>
          </w:p>
        </w:tc>
      </w:tr>
    </w:tbl>
    <w:p w:rsidR="00175F6F" w:rsidRPr="00303EC0" w:rsidRDefault="000A18BA" w:rsidP="00303EC0">
      <w:pPr>
        <w:spacing w:line="360" w:lineRule="auto"/>
        <w:ind w:firstLineChars="200" w:firstLine="640"/>
        <w:rPr>
          <w:rFonts w:ascii="方正楷体_GBK" w:eastAsia="方正楷体_GBK"/>
          <w:sz w:val="32"/>
          <w:szCs w:val="32"/>
        </w:rPr>
      </w:pPr>
      <w:r w:rsidRPr="00303EC0">
        <w:rPr>
          <w:rFonts w:ascii="方正楷体_GBK" w:eastAsia="方正楷体_GBK" w:hint="eastAsia"/>
          <w:sz w:val="32"/>
          <w:szCs w:val="32"/>
        </w:rPr>
        <w:t>6</w:t>
      </w:r>
      <w:r w:rsidR="00175F6F" w:rsidRPr="00303EC0">
        <w:rPr>
          <w:rFonts w:ascii="方正楷体_GBK" w:eastAsia="方正楷体_GBK" w:hint="eastAsia"/>
          <w:sz w:val="32"/>
          <w:szCs w:val="32"/>
        </w:rPr>
        <w:t>、可疑医疗器械不良事件涉及产品结构特征情况分析</w:t>
      </w:r>
    </w:p>
    <w:p w:rsidR="00175F6F" w:rsidRPr="000C2282" w:rsidRDefault="00175F6F" w:rsidP="00175F6F">
      <w:pPr>
        <w:spacing w:line="360" w:lineRule="auto"/>
        <w:ind w:firstLineChars="200" w:firstLine="640"/>
        <w:rPr>
          <w:rFonts w:ascii="方正仿宋_GBK" w:eastAsia="方正仿宋_GBK"/>
          <w:sz w:val="32"/>
        </w:rPr>
      </w:pPr>
      <w:r w:rsidRPr="000C2282">
        <w:rPr>
          <w:rFonts w:ascii="方正仿宋_GBK" w:eastAsia="方正仿宋_GBK"/>
          <w:sz w:val="32"/>
        </w:rPr>
        <w:t>2021年</w:t>
      </w:r>
      <w:r w:rsidRPr="000C2282">
        <w:rPr>
          <w:rFonts w:ascii="方正仿宋_GBK" w:eastAsia="方正仿宋_GBK" w:hint="eastAsia"/>
          <w:sz w:val="32"/>
        </w:rPr>
        <w:t>我市上报的医疗器械不良事件报告</w:t>
      </w:r>
      <w:r w:rsidRPr="000C2282">
        <w:rPr>
          <w:rFonts w:ascii="方正仿宋_GBK" w:eastAsia="方正仿宋_GBK"/>
          <w:sz w:val="32"/>
        </w:rPr>
        <w:t>中，涉及无源</w:t>
      </w:r>
      <w:r w:rsidRPr="000C2282">
        <w:rPr>
          <w:rFonts w:ascii="方正仿宋_GBK" w:eastAsia="方正仿宋_GBK"/>
          <w:sz w:val="32"/>
        </w:rPr>
        <w:lastRenderedPageBreak/>
        <w:t>医疗器械的报告</w:t>
      </w:r>
      <w:r w:rsidR="000C2282" w:rsidRPr="000C2282">
        <w:rPr>
          <w:rFonts w:ascii="方正仿宋_GBK" w:eastAsia="方正仿宋_GBK" w:hint="eastAsia"/>
          <w:sz w:val="32"/>
        </w:rPr>
        <w:t>8265</w:t>
      </w:r>
      <w:r w:rsidRPr="000C2282">
        <w:rPr>
          <w:rFonts w:ascii="方正仿宋_GBK" w:eastAsia="方正仿宋_GBK"/>
          <w:sz w:val="32"/>
        </w:rPr>
        <w:t>份，占报告总数的</w:t>
      </w:r>
      <w:r w:rsidRPr="000C2282">
        <w:rPr>
          <w:rFonts w:ascii="方正仿宋_GBK" w:eastAsia="方正仿宋_GBK" w:hint="eastAsia"/>
          <w:sz w:val="32"/>
        </w:rPr>
        <w:t>7</w:t>
      </w:r>
      <w:r w:rsidR="000C2282" w:rsidRPr="000C2282">
        <w:rPr>
          <w:rFonts w:ascii="方正仿宋_GBK" w:eastAsia="方正仿宋_GBK" w:hint="eastAsia"/>
          <w:sz w:val="32"/>
        </w:rPr>
        <w:t>3.15</w:t>
      </w:r>
      <w:r w:rsidRPr="000C2282">
        <w:rPr>
          <w:rFonts w:ascii="方正仿宋_GBK" w:eastAsia="方正仿宋_GBK"/>
          <w:sz w:val="32"/>
        </w:rPr>
        <w:t>%；涉及有源医疗器械的报告</w:t>
      </w:r>
      <w:r w:rsidR="000C2282" w:rsidRPr="000C2282">
        <w:rPr>
          <w:rFonts w:ascii="方正仿宋_GBK" w:eastAsia="方正仿宋_GBK" w:hint="eastAsia"/>
          <w:sz w:val="32"/>
        </w:rPr>
        <w:t>2396</w:t>
      </w:r>
      <w:r w:rsidRPr="000C2282">
        <w:rPr>
          <w:rFonts w:ascii="方正仿宋_GBK" w:eastAsia="方正仿宋_GBK"/>
          <w:sz w:val="32"/>
        </w:rPr>
        <w:t>份，占报告总数的</w:t>
      </w:r>
      <w:r w:rsidR="000C2282" w:rsidRPr="000C2282">
        <w:rPr>
          <w:rFonts w:ascii="方正仿宋_GBK" w:eastAsia="方正仿宋_GBK" w:hint="eastAsia"/>
          <w:sz w:val="32"/>
        </w:rPr>
        <w:t>21.21</w:t>
      </w:r>
      <w:r w:rsidRPr="000C2282">
        <w:rPr>
          <w:rFonts w:ascii="方正仿宋_GBK" w:eastAsia="方正仿宋_GBK"/>
          <w:sz w:val="32"/>
        </w:rPr>
        <w:t>%；涉及体外诊断试剂的报告</w:t>
      </w:r>
      <w:r w:rsidR="000C2282" w:rsidRPr="000C2282">
        <w:rPr>
          <w:rFonts w:ascii="方正仿宋_GBK" w:eastAsia="方正仿宋_GBK" w:hint="eastAsia"/>
          <w:sz w:val="32"/>
        </w:rPr>
        <w:t>93</w:t>
      </w:r>
      <w:r w:rsidRPr="000C2282">
        <w:rPr>
          <w:rFonts w:ascii="方正仿宋_GBK" w:eastAsia="方正仿宋_GBK"/>
          <w:sz w:val="32"/>
        </w:rPr>
        <w:t>份，占报告总数的</w:t>
      </w:r>
      <w:r w:rsidRPr="000C2282">
        <w:rPr>
          <w:rFonts w:ascii="方正仿宋_GBK" w:eastAsia="方正仿宋_GBK" w:hint="eastAsia"/>
          <w:sz w:val="32"/>
        </w:rPr>
        <w:t>0.</w:t>
      </w:r>
      <w:r w:rsidR="000C2282" w:rsidRPr="000C2282">
        <w:rPr>
          <w:rFonts w:ascii="方正仿宋_GBK" w:eastAsia="方正仿宋_GBK" w:hint="eastAsia"/>
          <w:sz w:val="32"/>
        </w:rPr>
        <w:t>82</w:t>
      </w:r>
      <w:r w:rsidRPr="000C2282">
        <w:rPr>
          <w:rFonts w:ascii="方正仿宋_GBK" w:eastAsia="方正仿宋_GBK"/>
          <w:sz w:val="32"/>
        </w:rPr>
        <w:t>%；</w:t>
      </w:r>
      <w:r w:rsidRPr="000C2282">
        <w:rPr>
          <w:rFonts w:ascii="方正仿宋_GBK" w:eastAsia="方正仿宋_GBK" w:hint="eastAsia"/>
          <w:sz w:val="32"/>
        </w:rPr>
        <w:t>另</w:t>
      </w:r>
      <w:r w:rsidRPr="000C2282">
        <w:rPr>
          <w:rFonts w:ascii="方正仿宋_GBK" w:eastAsia="方正仿宋_GBK"/>
          <w:sz w:val="32"/>
        </w:rPr>
        <w:t>有</w:t>
      </w:r>
      <w:r w:rsidR="000C2282" w:rsidRPr="000C2282">
        <w:rPr>
          <w:rFonts w:ascii="方正仿宋_GBK" w:eastAsia="方正仿宋_GBK" w:hint="eastAsia"/>
          <w:sz w:val="32"/>
        </w:rPr>
        <w:t>544</w:t>
      </w:r>
      <w:r w:rsidRPr="000C2282">
        <w:rPr>
          <w:rFonts w:ascii="方正仿宋_GBK" w:eastAsia="方正仿宋_GBK" w:hint="eastAsia"/>
          <w:sz w:val="32"/>
        </w:rPr>
        <w:t>份报告因注册证号信息未维护等原因无法识别其结构特征。</w:t>
      </w:r>
    </w:p>
    <w:p w:rsidR="000C2282" w:rsidRPr="000C2282" w:rsidRDefault="009327F5" w:rsidP="000C2282">
      <w:pPr>
        <w:widowControl/>
        <w:jc w:val="left"/>
        <w:rPr>
          <w:rFonts w:ascii="宋体" w:hAnsi="宋体" w:cs="宋体"/>
          <w:kern w:val="0"/>
          <w:sz w:val="24"/>
        </w:rPr>
      </w:pPr>
      <w:r w:rsidRPr="009327F5">
        <w:rPr>
          <w:rFonts w:ascii="宋体" w:hAnsi="宋体" w:cs="宋体"/>
          <w:noProof/>
          <w:kern w:val="0"/>
          <w:sz w:val="24"/>
        </w:rPr>
        <w:drawing>
          <wp:inline distT="0" distB="0" distL="0" distR="0">
            <wp:extent cx="5147310" cy="2827020"/>
            <wp:effectExtent l="19050" t="0" r="15240" b="0"/>
            <wp:docPr id="16"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75F6F" w:rsidRPr="00A94B99" w:rsidRDefault="00175F6F" w:rsidP="00175F6F">
      <w:pPr>
        <w:spacing w:after="240" w:line="360" w:lineRule="auto"/>
        <w:ind w:firstLineChars="200" w:firstLine="420"/>
        <w:jc w:val="center"/>
        <w:rPr>
          <w:rFonts w:ascii="方正黑体_GBK" w:eastAsia="方正黑体_GBK"/>
          <w:sz w:val="32"/>
          <w:szCs w:val="32"/>
        </w:rPr>
      </w:pPr>
      <w:r w:rsidRPr="00A94B99">
        <w:rPr>
          <w:rFonts w:hint="eastAsia"/>
          <w:szCs w:val="18"/>
        </w:rPr>
        <w:t>图</w:t>
      </w:r>
      <w:r w:rsidR="009327F5">
        <w:rPr>
          <w:rFonts w:hint="eastAsia"/>
          <w:szCs w:val="18"/>
        </w:rPr>
        <w:t>2-4</w:t>
      </w:r>
      <w:r w:rsidRPr="00A94B99">
        <w:rPr>
          <w:rFonts w:hint="eastAsia"/>
          <w:szCs w:val="18"/>
        </w:rPr>
        <w:t>涉及产品的管理类别构成情况</w:t>
      </w:r>
    </w:p>
    <w:p w:rsidR="00175F6F" w:rsidRPr="00303EC0" w:rsidRDefault="000A18BA" w:rsidP="00303EC0">
      <w:pPr>
        <w:spacing w:line="360" w:lineRule="auto"/>
        <w:ind w:firstLineChars="200" w:firstLine="640"/>
        <w:rPr>
          <w:rFonts w:ascii="方正楷体_GBK" w:eastAsia="方正楷体_GBK"/>
          <w:sz w:val="32"/>
          <w:szCs w:val="32"/>
        </w:rPr>
      </w:pPr>
      <w:r w:rsidRPr="00303EC0">
        <w:rPr>
          <w:rFonts w:ascii="方正楷体_GBK" w:eastAsia="方正楷体_GBK" w:hint="eastAsia"/>
          <w:sz w:val="32"/>
          <w:szCs w:val="32"/>
        </w:rPr>
        <w:t>7</w:t>
      </w:r>
      <w:r w:rsidR="00175F6F" w:rsidRPr="00303EC0">
        <w:rPr>
          <w:rFonts w:ascii="方正楷体_GBK" w:eastAsia="方正楷体_GBK" w:hint="eastAsia"/>
          <w:sz w:val="32"/>
          <w:szCs w:val="32"/>
        </w:rPr>
        <w:t>、可疑医疗器械不良事件涉及使用场所情况分析</w:t>
      </w:r>
    </w:p>
    <w:p w:rsidR="00175F6F" w:rsidRPr="00726770" w:rsidRDefault="00175F6F" w:rsidP="00175F6F">
      <w:pPr>
        <w:spacing w:line="360" w:lineRule="auto"/>
        <w:ind w:firstLineChars="200" w:firstLine="640"/>
        <w:rPr>
          <w:rFonts w:ascii="方正仿宋_GBK" w:eastAsia="方正仿宋_GBK"/>
          <w:sz w:val="32"/>
        </w:rPr>
      </w:pPr>
      <w:r w:rsidRPr="00726770">
        <w:rPr>
          <w:rFonts w:ascii="方正仿宋_GBK" w:eastAsia="方正仿宋_GBK" w:hint="eastAsia"/>
          <w:sz w:val="32"/>
        </w:rPr>
        <w:t>本年度我市上报的可疑医疗器械不良事件报告中，使用场所为医疗机构的报告共</w:t>
      </w:r>
      <w:r w:rsidR="00726770" w:rsidRPr="00726770">
        <w:rPr>
          <w:rFonts w:ascii="方正仿宋_GBK" w:eastAsia="方正仿宋_GBK" w:hint="eastAsia"/>
          <w:sz w:val="32"/>
        </w:rPr>
        <w:t>10374</w:t>
      </w:r>
      <w:r w:rsidRPr="00726770">
        <w:rPr>
          <w:rFonts w:ascii="方正仿宋_GBK" w:eastAsia="方正仿宋_GBK" w:hint="eastAsia"/>
          <w:sz w:val="32"/>
        </w:rPr>
        <w:t>份，占总报告数的9</w:t>
      </w:r>
      <w:r w:rsidR="00726770" w:rsidRPr="00726770">
        <w:rPr>
          <w:rFonts w:ascii="方正仿宋_GBK" w:eastAsia="方正仿宋_GBK" w:hint="eastAsia"/>
          <w:sz w:val="32"/>
        </w:rPr>
        <w:t>1.82</w:t>
      </w:r>
      <w:r w:rsidRPr="00726770">
        <w:rPr>
          <w:rFonts w:ascii="方正仿宋_GBK" w:eastAsia="方正仿宋_GBK" w:hint="eastAsia"/>
          <w:sz w:val="32"/>
        </w:rPr>
        <w:t>%；使用场所为家庭的报告共</w:t>
      </w:r>
      <w:r w:rsidR="00726770" w:rsidRPr="00726770">
        <w:rPr>
          <w:rFonts w:ascii="方正仿宋_GBK" w:eastAsia="方正仿宋_GBK" w:hint="eastAsia"/>
          <w:sz w:val="32"/>
        </w:rPr>
        <w:t>595</w:t>
      </w:r>
      <w:r w:rsidRPr="00726770">
        <w:rPr>
          <w:rFonts w:ascii="方正仿宋_GBK" w:eastAsia="方正仿宋_GBK" w:hint="eastAsia"/>
          <w:sz w:val="32"/>
        </w:rPr>
        <w:t>份，占总报告数的</w:t>
      </w:r>
      <w:r w:rsidR="00726770" w:rsidRPr="00726770">
        <w:rPr>
          <w:rFonts w:ascii="方正仿宋_GBK" w:eastAsia="方正仿宋_GBK" w:hint="eastAsia"/>
          <w:sz w:val="32"/>
        </w:rPr>
        <w:t>5.27</w:t>
      </w:r>
      <w:r w:rsidRPr="00726770">
        <w:rPr>
          <w:rFonts w:ascii="方正仿宋_GBK" w:eastAsia="方正仿宋_GBK" w:hint="eastAsia"/>
          <w:sz w:val="32"/>
        </w:rPr>
        <w:t>%；使用场所为其他的报告数共</w:t>
      </w:r>
      <w:r w:rsidR="00726770" w:rsidRPr="00726770">
        <w:rPr>
          <w:rFonts w:ascii="方正仿宋_GBK" w:eastAsia="方正仿宋_GBK" w:hint="eastAsia"/>
          <w:sz w:val="32"/>
        </w:rPr>
        <w:t>329</w:t>
      </w:r>
      <w:r w:rsidRPr="00726770">
        <w:rPr>
          <w:rFonts w:ascii="方正仿宋_GBK" w:eastAsia="方正仿宋_GBK" w:hint="eastAsia"/>
          <w:sz w:val="32"/>
        </w:rPr>
        <w:t>份，占总报告数的2.</w:t>
      </w:r>
      <w:r w:rsidR="00726770" w:rsidRPr="00726770">
        <w:rPr>
          <w:rFonts w:ascii="方正仿宋_GBK" w:eastAsia="方正仿宋_GBK" w:hint="eastAsia"/>
          <w:sz w:val="32"/>
        </w:rPr>
        <w:t>91</w:t>
      </w:r>
      <w:r w:rsidRPr="00726770">
        <w:rPr>
          <w:rFonts w:ascii="方正仿宋_GBK" w:eastAsia="方正仿宋_GBK" w:hint="eastAsia"/>
          <w:sz w:val="32"/>
        </w:rPr>
        <w:t>%。医疗机构是监测报告的主要来源，家庭使用医疗器械所占报告比例依旧较小。</w:t>
      </w:r>
    </w:p>
    <w:p w:rsidR="00707956" w:rsidRPr="00707956" w:rsidRDefault="009327F5" w:rsidP="00707956">
      <w:pPr>
        <w:widowControl/>
        <w:jc w:val="left"/>
        <w:rPr>
          <w:rFonts w:ascii="宋体" w:hAnsi="宋体" w:cs="宋体"/>
          <w:kern w:val="0"/>
          <w:sz w:val="24"/>
        </w:rPr>
      </w:pPr>
      <w:r w:rsidRPr="009327F5">
        <w:rPr>
          <w:rFonts w:ascii="宋体" w:hAnsi="宋体" w:cs="宋体"/>
          <w:noProof/>
          <w:kern w:val="0"/>
          <w:sz w:val="24"/>
        </w:rPr>
        <w:lastRenderedPageBreak/>
        <w:drawing>
          <wp:inline distT="0" distB="0" distL="0" distR="0">
            <wp:extent cx="5299710" cy="2743200"/>
            <wp:effectExtent l="19050" t="0" r="15240" b="0"/>
            <wp:docPr id="17"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A049C" w:rsidRDefault="00175F6F" w:rsidP="000A18BA">
      <w:pPr>
        <w:spacing w:after="240" w:line="360" w:lineRule="auto"/>
        <w:jc w:val="center"/>
        <w:rPr>
          <w:rFonts w:ascii="方正小标宋_GBK" w:eastAsia="方正小标宋_GBK"/>
          <w:bCs/>
          <w:sz w:val="36"/>
          <w:szCs w:val="36"/>
        </w:rPr>
      </w:pPr>
      <w:r w:rsidRPr="00EE7E4A">
        <w:rPr>
          <w:rFonts w:hint="eastAsia"/>
          <w:sz w:val="18"/>
          <w:szCs w:val="18"/>
        </w:rPr>
        <w:t>图</w:t>
      </w:r>
      <w:r w:rsidR="009327F5">
        <w:rPr>
          <w:rFonts w:hint="eastAsia"/>
          <w:sz w:val="18"/>
          <w:szCs w:val="18"/>
        </w:rPr>
        <w:t>2-5</w:t>
      </w:r>
      <w:r w:rsidRPr="00EE7E4A">
        <w:rPr>
          <w:rFonts w:hint="eastAsia"/>
          <w:szCs w:val="18"/>
        </w:rPr>
        <w:t>涉及医疗器械使用场所构成情况</w:t>
      </w:r>
    </w:p>
    <w:sectPr w:rsidR="000A049C" w:rsidSect="007B18B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477A" w:rsidRDefault="00AD477A" w:rsidP="00E21B47">
      <w:r>
        <w:separator/>
      </w:r>
    </w:p>
  </w:endnote>
  <w:endnote w:type="continuationSeparator" w:id="0">
    <w:p w:rsidR="00AD477A" w:rsidRDefault="00AD477A" w:rsidP="00E21B4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477A" w:rsidRDefault="00AD477A" w:rsidP="00E21B47">
      <w:r>
        <w:separator/>
      </w:r>
    </w:p>
  </w:footnote>
  <w:footnote w:type="continuationSeparator" w:id="0">
    <w:p w:rsidR="00AD477A" w:rsidRDefault="00AD477A" w:rsidP="00E21B4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741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21B47"/>
    <w:rsid w:val="00001259"/>
    <w:rsid w:val="000030E0"/>
    <w:rsid w:val="00006107"/>
    <w:rsid w:val="0002399E"/>
    <w:rsid w:val="00026084"/>
    <w:rsid w:val="00027DE2"/>
    <w:rsid w:val="000478CA"/>
    <w:rsid w:val="00053729"/>
    <w:rsid w:val="000629EB"/>
    <w:rsid w:val="00065489"/>
    <w:rsid w:val="00067290"/>
    <w:rsid w:val="00076700"/>
    <w:rsid w:val="0007792A"/>
    <w:rsid w:val="000A049C"/>
    <w:rsid w:val="000A18BA"/>
    <w:rsid w:val="000A7742"/>
    <w:rsid w:val="000B14B0"/>
    <w:rsid w:val="000B1933"/>
    <w:rsid w:val="000B31CF"/>
    <w:rsid w:val="000C2282"/>
    <w:rsid w:val="000C3540"/>
    <w:rsid w:val="000C3D7E"/>
    <w:rsid w:val="000C5746"/>
    <w:rsid w:val="000C67D0"/>
    <w:rsid w:val="000E7102"/>
    <w:rsid w:val="000F0523"/>
    <w:rsid w:val="000F1CBE"/>
    <w:rsid w:val="001024AF"/>
    <w:rsid w:val="001028F1"/>
    <w:rsid w:val="00103639"/>
    <w:rsid w:val="0010428B"/>
    <w:rsid w:val="00106545"/>
    <w:rsid w:val="00122A10"/>
    <w:rsid w:val="00122C47"/>
    <w:rsid w:val="00152105"/>
    <w:rsid w:val="00153961"/>
    <w:rsid w:val="00156820"/>
    <w:rsid w:val="00170EF0"/>
    <w:rsid w:val="00171FBA"/>
    <w:rsid w:val="00175F6F"/>
    <w:rsid w:val="0018619C"/>
    <w:rsid w:val="00195A12"/>
    <w:rsid w:val="001A246B"/>
    <w:rsid w:val="001C2BBF"/>
    <w:rsid w:val="001C5243"/>
    <w:rsid w:val="001D35FC"/>
    <w:rsid w:val="001D6EE8"/>
    <w:rsid w:val="001E4916"/>
    <w:rsid w:val="001F01C1"/>
    <w:rsid w:val="001F2F77"/>
    <w:rsid w:val="001F538A"/>
    <w:rsid w:val="002047A8"/>
    <w:rsid w:val="00213084"/>
    <w:rsid w:val="00226E87"/>
    <w:rsid w:val="00230135"/>
    <w:rsid w:val="00237C90"/>
    <w:rsid w:val="00242972"/>
    <w:rsid w:val="00242F0D"/>
    <w:rsid w:val="00246466"/>
    <w:rsid w:val="00251DFC"/>
    <w:rsid w:val="002668AA"/>
    <w:rsid w:val="00272CB9"/>
    <w:rsid w:val="00276F9E"/>
    <w:rsid w:val="00277FA8"/>
    <w:rsid w:val="0028118B"/>
    <w:rsid w:val="00295B2C"/>
    <w:rsid w:val="002A6BC4"/>
    <w:rsid w:val="002B5B3E"/>
    <w:rsid w:val="002B5F0E"/>
    <w:rsid w:val="002B64E9"/>
    <w:rsid w:val="002C22B3"/>
    <w:rsid w:val="002C7561"/>
    <w:rsid w:val="002D3DFA"/>
    <w:rsid w:val="002E128B"/>
    <w:rsid w:val="002F2AD0"/>
    <w:rsid w:val="00303EC0"/>
    <w:rsid w:val="0032728A"/>
    <w:rsid w:val="00331448"/>
    <w:rsid w:val="00333B80"/>
    <w:rsid w:val="00334219"/>
    <w:rsid w:val="00341536"/>
    <w:rsid w:val="00351EC3"/>
    <w:rsid w:val="00357C30"/>
    <w:rsid w:val="00365B6F"/>
    <w:rsid w:val="003867E0"/>
    <w:rsid w:val="003873BA"/>
    <w:rsid w:val="00391047"/>
    <w:rsid w:val="003A0339"/>
    <w:rsid w:val="003A3EC7"/>
    <w:rsid w:val="003B3536"/>
    <w:rsid w:val="003B3A8A"/>
    <w:rsid w:val="003B4E11"/>
    <w:rsid w:val="003E7DFD"/>
    <w:rsid w:val="003E7FF8"/>
    <w:rsid w:val="003F108E"/>
    <w:rsid w:val="00410FB8"/>
    <w:rsid w:val="00422A74"/>
    <w:rsid w:val="00424DB8"/>
    <w:rsid w:val="0042572E"/>
    <w:rsid w:val="00440031"/>
    <w:rsid w:val="0044125C"/>
    <w:rsid w:val="00442DC2"/>
    <w:rsid w:val="00446206"/>
    <w:rsid w:val="004554F7"/>
    <w:rsid w:val="00460392"/>
    <w:rsid w:val="00460F0A"/>
    <w:rsid w:val="00466800"/>
    <w:rsid w:val="00472A8C"/>
    <w:rsid w:val="0048018C"/>
    <w:rsid w:val="00483367"/>
    <w:rsid w:val="00484F20"/>
    <w:rsid w:val="00484FFE"/>
    <w:rsid w:val="004905AA"/>
    <w:rsid w:val="00494164"/>
    <w:rsid w:val="00497A85"/>
    <w:rsid w:val="004A1788"/>
    <w:rsid w:val="004B29FC"/>
    <w:rsid w:val="004C1B4E"/>
    <w:rsid w:val="004C2B1D"/>
    <w:rsid w:val="004D1EDE"/>
    <w:rsid w:val="004D44D9"/>
    <w:rsid w:val="004D6932"/>
    <w:rsid w:val="004E49D5"/>
    <w:rsid w:val="004E578A"/>
    <w:rsid w:val="004F15D5"/>
    <w:rsid w:val="0050112A"/>
    <w:rsid w:val="005017A7"/>
    <w:rsid w:val="00503508"/>
    <w:rsid w:val="00517381"/>
    <w:rsid w:val="0051781F"/>
    <w:rsid w:val="005327F3"/>
    <w:rsid w:val="00546D2C"/>
    <w:rsid w:val="00551494"/>
    <w:rsid w:val="005523F1"/>
    <w:rsid w:val="00557C59"/>
    <w:rsid w:val="00565B7D"/>
    <w:rsid w:val="00592F6E"/>
    <w:rsid w:val="005966E4"/>
    <w:rsid w:val="0059737E"/>
    <w:rsid w:val="005A1B43"/>
    <w:rsid w:val="005B081B"/>
    <w:rsid w:val="005C4705"/>
    <w:rsid w:val="005F336D"/>
    <w:rsid w:val="00604797"/>
    <w:rsid w:val="006065D5"/>
    <w:rsid w:val="006072AA"/>
    <w:rsid w:val="00607BBE"/>
    <w:rsid w:val="006130B5"/>
    <w:rsid w:val="00623E4F"/>
    <w:rsid w:val="006414D2"/>
    <w:rsid w:val="00645863"/>
    <w:rsid w:val="006636C9"/>
    <w:rsid w:val="00664F1C"/>
    <w:rsid w:val="00665B5C"/>
    <w:rsid w:val="00687F83"/>
    <w:rsid w:val="00690B3C"/>
    <w:rsid w:val="00692C3C"/>
    <w:rsid w:val="00695C6B"/>
    <w:rsid w:val="006979FD"/>
    <w:rsid w:val="006B0EF8"/>
    <w:rsid w:val="006B272F"/>
    <w:rsid w:val="006B5735"/>
    <w:rsid w:val="006B57C1"/>
    <w:rsid w:val="006E04F1"/>
    <w:rsid w:val="006E534F"/>
    <w:rsid w:val="006E5CD1"/>
    <w:rsid w:val="006E60C4"/>
    <w:rsid w:val="00704C69"/>
    <w:rsid w:val="007059B0"/>
    <w:rsid w:val="00705E2D"/>
    <w:rsid w:val="00707956"/>
    <w:rsid w:val="00707A33"/>
    <w:rsid w:val="00713E55"/>
    <w:rsid w:val="007140EC"/>
    <w:rsid w:val="00714C61"/>
    <w:rsid w:val="007208FF"/>
    <w:rsid w:val="00721D62"/>
    <w:rsid w:val="00722DA3"/>
    <w:rsid w:val="00726770"/>
    <w:rsid w:val="00730555"/>
    <w:rsid w:val="00731F60"/>
    <w:rsid w:val="007330BE"/>
    <w:rsid w:val="00735118"/>
    <w:rsid w:val="00737023"/>
    <w:rsid w:val="007465E0"/>
    <w:rsid w:val="00750707"/>
    <w:rsid w:val="00751E48"/>
    <w:rsid w:val="00763D92"/>
    <w:rsid w:val="00772E89"/>
    <w:rsid w:val="00777C3A"/>
    <w:rsid w:val="00777EEB"/>
    <w:rsid w:val="007818C6"/>
    <w:rsid w:val="00784783"/>
    <w:rsid w:val="007877FE"/>
    <w:rsid w:val="007918F2"/>
    <w:rsid w:val="007B18B2"/>
    <w:rsid w:val="007D0E98"/>
    <w:rsid w:val="00802B08"/>
    <w:rsid w:val="00803D65"/>
    <w:rsid w:val="00810614"/>
    <w:rsid w:val="00815BA7"/>
    <w:rsid w:val="008271BD"/>
    <w:rsid w:val="00831472"/>
    <w:rsid w:val="00844CDD"/>
    <w:rsid w:val="00846179"/>
    <w:rsid w:val="00852076"/>
    <w:rsid w:val="008533A2"/>
    <w:rsid w:val="00873473"/>
    <w:rsid w:val="00882C8C"/>
    <w:rsid w:val="0088521F"/>
    <w:rsid w:val="00886F81"/>
    <w:rsid w:val="008A4219"/>
    <w:rsid w:val="008B3B85"/>
    <w:rsid w:val="008B5783"/>
    <w:rsid w:val="008C588C"/>
    <w:rsid w:val="008D114A"/>
    <w:rsid w:val="008D182D"/>
    <w:rsid w:val="008D676A"/>
    <w:rsid w:val="008E1789"/>
    <w:rsid w:val="008E1C0C"/>
    <w:rsid w:val="008E4FBD"/>
    <w:rsid w:val="008F4D0E"/>
    <w:rsid w:val="008F560F"/>
    <w:rsid w:val="008F66D6"/>
    <w:rsid w:val="009026A7"/>
    <w:rsid w:val="00904057"/>
    <w:rsid w:val="00904B21"/>
    <w:rsid w:val="009119EC"/>
    <w:rsid w:val="00913AFD"/>
    <w:rsid w:val="00924D31"/>
    <w:rsid w:val="009327F5"/>
    <w:rsid w:val="00940057"/>
    <w:rsid w:val="00940354"/>
    <w:rsid w:val="00941F9E"/>
    <w:rsid w:val="00955B6F"/>
    <w:rsid w:val="009572B5"/>
    <w:rsid w:val="00957AE2"/>
    <w:rsid w:val="00961D35"/>
    <w:rsid w:val="009651AF"/>
    <w:rsid w:val="00965CB2"/>
    <w:rsid w:val="0096690B"/>
    <w:rsid w:val="00966FCF"/>
    <w:rsid w:val="009807F5"/>
    <w:rsid w:val="009837B0"/>
    <w:rsid w:val="009843FA"/>
    <w:rsid w:val="00995958"/>
    <w:rsid w:val="009A1215"/>
    <w:rsid w:val="009A593B"/>
    <w:rsid w:val="009B7A9C"/>
    <w:rsid w:val="009C55CA"/>
    <w:rsid w:val="009C58A0"/>
    <w:rsid w:val="009D0505"/>
    <w:rsid w:val="009E2872"/>
    <w:rsid w:val="00A024AF"/>
    <w:rsid w:val="00A056AC"/>
    <w:rsid w:val="00A0578D"/>
    <w:rsid w:val="00A167F9"/>
    <w:rsid w:val="00A173CD"/>
    <w:rsid w:val="00A212AB"/>
    <w:rsid w:val="00A220CE"/>
    <w:rsid w:val="00A32B87"/>
    <w:rsid w:val="00A34440"/>
    <w:rsid w:val="00A40795"/>
    <w:rsid w:val="00A45952"/>
    <w:rsid w:val="00A763E6"/>
    <w:rsid w:val="00A82674"/>
    <w:rsid w:val="00A85079"/>
    <w:rsid w:val="00A863F3"/>
    <w:rsid w:val="00A91D29"/>
    <w:rsid w:val="00A943A0"/>
    <w:rsid w:val="00A94B99"/>
    <w:rsid w:val="00A955F8"/>
    <w:rsid w:val="00A95845"/>
    <w:rsid w:val="00AA4F4A"/>
    <w:rsid w:val="00AB4D35"/>
    <w:rsid w:val="00AB5D8D"/>
    <w:rsid w:val="00AB77C3"/>
    <w:rsid w:val="00AC2334"/>
    <w:rsid w:val="00AD477A"/>
    <w:rsid w:val="00B017B3"/>
    <w:rsid w:val="00B03A4D"/>
    <w:rsid w:val="00B04E8F"/>
    <w:rsid w:val="00B176A1"/>
    <w:rsid w:val="00B20300"/>
    <w:rsid w:val="00B21B08"/>
    <w:rsid w:val="00B33C21"/>
    <w:rsid w:val="00B46221"/>
    <w:rsid w:val="00B502B1"/>
    <w:rsid w:val="00B82B7E"/>
    <w:rsid w:val="00B91E41"/>
    <w:rsid w:val="00BA7522"/>
    <w:rsid w:val="00BA7804"/>
    <w:rsid w:val="00BB14F5"/>
    <w:rsid w:val="00BB4FEC"/>
    <w:rsid w:val="00BB6EC7"/>
    <w:rsid w:val="00BD48C6"/>
    <w:rsid w:val="00BD595A"/>
    <w:rsid w:val="00BE3B31"/>
    <w:rsid w:val="00BE522B"/>
    <w:rsid w:val="00BF2FDC"/>
    <w:rsid w:val="00BF3AF6"/>
    <w:rsid w:val="00BF7D7B"/>
    <w:rsid w:val="00C01639"/>
    <w:rsid w:val="00C024DC"/>
    <w:rsid w:val="00C07758"/>
    <w:rsid w:val="00C21CB8"/>
    <w:rsid w:val="00C2613F"/>
    <w:rsid w:val="00C440EF"/>
    <w:rsid w:val="00C64A09"/>
    <w:rsid w:val="00C73432"/>
    <w:rsid w:val="00C73558"/>
    <w:rsid w:val="00C73915"/>
    <w:rsid w:val="00C7418F"/>
    <w:rsid w:val="00C81114"/>
    <w:rsid w:val="00C83E71"/>
    <w:rsid w:val="00C94F01"/>
    <w:rsid w:val="00CA77C0"/>
    <w:rsid w:val="00CC7498"/>
    <w:rsid w:val="00CD0A57"/>
    <w:rsid w:val="00CD33D8"/>
    <w:rsid w:val="00CF36D7"/>
    <w:rsid w:val="00CF71ED"/>
    <w:rsid w:val="00D135CE"/>
    <w:rsid w:val="00D15329"/>
    <w:rsid w:val="00D15EAC"/>
    <w:rsid w:val="00D171A3"/>
    <w:rsid w:val="00D31781"/>
    <w:rsid w:val="00D31DBD"/>
    <w:rsid w:val="00D3592C"/>
    <w:rsid w:val="00D4010A"/>
    <w:rsid w:val="00D40110"/>
    <w:rsid w:val="00D656BB"/>
    <w:rsid w:val="00D71258"/>
    <w:rsid w:val="00D73226"/>
    <w:rsid w:val="00D77F2A"/>
    <w:rsid w:val="00D81192"/>
    <w:rsid w:val="00D96757"/>
    <w:rsid w:val="00DA55BE"/>
    <w:rsid w:val="00DA5AF0"/>
    <w:rsid w:val="00DB3051"/>
    <w:rsid w:val="00DB575B"/>
    <w:rsid w:val="00DC0CA9"/>
    <w:rsid w:val="00DC73A3"/>
    <w:rsid w:val="00DF6897"/>
    <w:rsid w:val="00E14A86"/>
    <w:rsid w:val="00E176ED"/>
    <w:rsid w:val="00E21B47"/>
    <w:rsid w:val="00E22023"/>
    <w:rsid w:val="00E23417"/>
    <w:rsid w:val="00E2591C"/>
    <w:rsid w:val="00E338CB"/>
    <w:rsid w:val="00E33E98"/>
    <w:rsid w:val="00E4200B"/>
    <w:rsid w:val="00E51ACE"/>
    <w:rsid w:val="00E53C60"/>
    <w:rsid w:val="00E55B5E"/>
    <w:rsid w:val="00E57460"/>
    <w:rsid w:val="00E7268A"/>
    <w:rsid w:val="00E8254B"/>
    <w:rsid w:val="00EA1E86"/>
    <w:rsid w:val="00EA6241"/>
    <w:rsid w:val="00EA7E10"/>
    <w:rsid w:val="00EB0563"/>
    <w:rsid w:val="00EB365A"/>
    <w:rsid w:val="00EB531D"/>
    <w:rsid w:val="00EC1615"/>
    <w:rsid w:val="00EC4E33"/>
    <w:rsid w:val="00EE27C3"/>
    <w:rsid w:val="00EE7DDD"/>
    <w:rsid w:val="00EE7E4A"/>
    <w:rsid w:val="00F1236D"/>
    <w:rsid w:val="00F12FF9"/>
    <w:rsid w:val="00F42FE6"/>
    <w:rsid w:val="00F440DE"/>
    <w:rsid w:val="00F478ED"/>
    <w:rsid w:val="00F51E5F"/>
    <w:rsid w:val="00F524F6"/>
    <w:rsid w:val="00F64925"/>
    <w:rsid w:val="00F82E63"/>
    <w:rsid w:val="00F83093"/>
    <w:rsid w:val="00F90DE7"/>
    <w:rsid w:val="00F95B21"/>
    <w:rsid w:val="00FA728F"/>
    <w:rsid w:val="00FB2053"/>
    <w:rsid w:val="00FB3107"/>
    <w:rsid w:val="00FB59ED"/>
    <w:rsid w:val="00FC2163"/>
    <w:rsid w:val="00FC4CEE"/>
    <w:rsid w:val="00FD250B"/>
    <w:rsid w:val="00FD5E37"/>
    <w:rsid w:val="00FE064A"/>
    <w:rsid w:val="00FE7949"/>
    <w:rsid w:val="00FF45E5"/>
    <w:rsid w:val="00FF5F7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B4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21B4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21B47"/>
    <w:rPr>
      <w:sz w:val="18"/>
      <w:szCs w:val="18"/>
    </w:rPr>
  </w:style>
  <w:style w:type="paragraph" w:styleId="a4">
    <w:name w:val="footer"/>
    <w:basedOn w:val="a"/>
    <w:link w:val="Char0"/>
    <w:uiPriority w:val="99"/>
    <w:unhideWhenUsed/>
    <w:rsid w:val="00E21B4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21B47"/>
    <w:rPr>
      <w:sz w:val="18"/>
      <w:szCs w:val="18"/>
    </w:rPr>
  </w:style>
  <w:style w:type="paragraph" w:styleId="a5">
    <w:name w:val="Balloon Text"/>
    <w:basedOn w:val="a"/>
    <w:link w:val="Char1"/>
    <w:uiPriority w:val="99"/>
    <w:semiHidden/>
    <w:unhideWhenUsed/>
    <w:rsid w:val="00FB3107"/>
    <w:rPr>
      <w:sz w:val="18"/>
      <w:szCs w:val="18"/>
    </w:rPr>
  </w:style>
  <w:style w:type="character" w:customStyle="1" w:styleId="Char1">
    <w:name w:val="批注框文本 Char"/>
    <w:basedOn w:val="a0"/>
    <w:link w:val="a5"/>
    <w:uiPriority w:val="99"/>
    <w:semiHidden/>
    <w:rsid w:val="00FB3107"/>
    <w:rPr>
      <w:rFonts w:ascii="Times New Roman" w:eastAsia="宋体" w:hAnsi="Times New Roman" w:cs="Times New Roman"/>
      <w:sz w:val="18"/>
      <w:szCs w:val="18"/>
    </w:rPr>
  </w:style>
  <w:style w:type="paragraph" w:styleId="a6">
    <w:name w:val="Body Text Indent"/>
    <w:basedOn w:val="a"/>
    <w:link w:val="Char2"/>
    <w:uiPriority w:val="99"/>
    <w:semiHidden/>
    <w:unhideWhenUsed/>
    <w:rsid w:val="00175F6F"/>
    <w:pPr>
      <w:spacing w:after="120"/>
      <w:ind w:leftChars="200" w:left="420"/>
    </w:pPr>
  </w:style>
  <w:style w:type="character" w:customStyle="1" w:styleId="Char2">
    <w:name w:val="正文文本缩进 Char"/>
    <w:basedOn w:val="a0"/>
    <w:link w:val="a6"/>
    <w:uiPriority w:val="99"/>
    <w:semiHidden/>
    <w:rsid w:val="00175F6F"/>
    <w:rPr>
      <w:rFonts w:ascii="Times New Roman" w:eastAsia="宋体" w:hAnsi="Times New Roman" w:cs="Times New Roman"/>
      <w:szCs w:val="24"/>
    </w:rPr>
  </w:style>
  <w:style w:type="paragraph" w:styleId="2">
    <w:name w:val="Body Text First Indent 2"/>
    <w:basedOn w:val="a6"/>
    <w:link w:val="2Char"/>
    <w:rsid w:val="00175F6F"/>
    <w:pPr>
      <w:widowControl/>
      <w:spacing w:line="360" w:lineRule="auto"/>
      <w:ind w:firstLineChars="200" w:firstLine="420"/>
      <w:jc w:val="left"/>
    </w:pPr>
    <w:rPr>
      <w:sz w:val="24"/>
    </w:rPr>
  </w:style>
  <w:style w:type="character" w:customStyle="1" w:styleId="2Char">
    <w:name w:val="正文首行缩进 2 Char"/>
    <w:basedOn w:val="Char2"/>
    <w:link w:val="2"/>
    <w:rsid w:val="00175F6F"/>
    <w:rPr>
      <w:rFonts w:ascii="Times New Roman" w:eastAsia="宋体" w:hAnsi="Times New Roman" w:cs="Times New Roman"/>
      <w:sz w:val="24"/>
      <w:szCs w:val="24"/>
    </w:rPr>
  </w:style>
  <w:style w:type="paragraph" w:customStyle="1" w:styleId="CharChar1">
    <w:name w:val="Char Char1"/>
    <w:basedOn w:val="a"/>
    <w:rsid w:val="00424DB8"/>
    <w:rPr>
      <w:kern w:val="0"/>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20412501">
      <w:bodyDiv w:val="1"/>
      <w:marLeft w:val="0"/>
      <w:marRight w:val="0"/>
      <w:marTop w:val="0"/>
      <w:marBottom w:val="0"/>
      <w:divBdr>
        <w:top w:val="none" w:sz="0" w:space="0" w:color="auto"/>
        <w:left w:val="none" w:sz="0" w:space="0" w:color="auto"/>
        <w:bottom w:val="none" w:sz="0" w:space="0" w:color="auto"/>
        <w:right w:val="none" w:sz="0" w:space="0" w:color="auto"/>
      </w:divBdr>
      <w:divsChild>
        <w:div w:id="378020446">
          <w:marLeft w:val="0"/>
          <w:marRight w:val="0"/>
          <w:marTop w:val="0"/>
          <w:marBottom w:val="0"/>
          <w:divBdr>
            <w:top w:val="none" w:sz="0" w:space="0" w:color="auto"/>
            <w:left w:val="none" w:sz="0" w:space="0" w:color="auto"/>
            <w:bottom w:val="none" w:sz="0" w:space="0" w:color="auto"/>
            <w:right w:val="none" w:sz="0" w:space="0" w:color="auto"/>
          </w:divBdr>
        </w:div>
      </w:divsChild>
    </w:div>
    <w:div w:id="260188919">
      <w:bodyDiv w:val="1"/>
      <w:marLeft w:val="0"/>
      <w:marRight w:val="0"/>
      <w:marTop w:val="0"/>
      <w:marBottom w:val="0"/>
      <w:divBdr>
        <w:top w:val="none" w:sz="0" w:space="0" w:color="auto"/>
        <w:left w:val="none" w:sz="0" w:space="0" w:color="auto"/>
        <w:bottom w:val="none" w:sz="0" w:space="0" w:color="auto"/>
        <w:right w:val="none" w:sz="0" w:space="0" w:color="auto"/>
      </w:divBdr>
    </w:div>
    <w:div w:id="291644141">
      <w:bodyDiv w:val="1"/>
      <w:marLeft w:val="0"/>
      <w:marRight w:val="0"/>
      <w:marTop w:val="0"/>
      <w:marBottom w:val="0"/>
      <w:divBdr>
        <w:top w:val="none" w:sz="0" w:space="0" w:color="auto"/>
        <w:left w:val="none" w:sz="0" w:space="0" w:color="auto"/>
        <w:bottom w:val="none" w:sz="0" w:space="0" w:color="auto"/>
        <w:right w:val="none" w:sz="0" w:space="0" w:color="auto"/>
      </w:divBdr>
      <w:divsChild>
        <w:div w:id="941297842">
          <w:marLeft w:val="0"/>
          <w:marRight w:val="0"/>
          <w:marTop w:val="0"/>
          <w:marBottom w:val="0"/>
          <w:divBdr>
            <w:top w:val="none" w:sz="0" w:space="0" w:color="auto"/>
            <w:left w:val="none" w:sz="0" w:space="0" w:color="auto"/>
            <w:bottom w:val="none" w:sz="0" w:space="0" w:color="auto"/>
            <w:right w:val="none" w:sz="0" w:space="0" w:color="auto"/>
          </w:divBdr>
        </w:div>
      </w:divsChild>
    </w:div>
    <w:div w:id="462886534">
      <w:bodyDiv w:val="1"/>
      <w:marLeft w:val="0"/>
      <w:marRight w:val="0"/>
      <w:marTop w:val="0"/>
      <w:marBottom w:val="0"/>
      <w:divBdr>
        <w:top w:val="none" w:sz="0" w:space="0" w:color="auto"/>
        <w:left w:val="none" w:sz="0" w:space="0" w:color="auto"/>
        <w:bottom w:val="none" w:sz="0" w:space="0" w:color="auto"/>
        <w:right w:val="none" w:sz="0" w:space="0" w:color="auto"/>
      </w:divBdr>
      <w:divsChild>
        <w:div w:id="982387236">
          <w:marLeft w:val="0"/>
          <w:marRight w:val="0"/>
          <w:marTop w:val="0"/>
          <w:marBottom w:val="0"/>
          <w:divBdr>
            <w:top w:val="none" w:sz="0" w:space="0" w:color="auto"/>
            <w:left w:val="none" w:sz="0" w:space="0" w:color="auto"/>
            <w:bottom w:val="none" w:sz="0" w:space="0" w:color="auto"/>
            <w:right w:val="none" w:sz="0" w:space="0" w:color="auto"/>
          </w:divBdr>
        </w:div>
      </w:divsChild>
    </w:div>
    <w:div w:id="847788528">
      <w:bodyDiv w:val="1"/>
      <w:marLeft w:val="0"/>
      <w:marRight w:val="0"/>
      <w:marTop w:val="0"/>
      <w:marBottom w:val="0"/>
      <w:divBdr>
        <w:top w:val="none" w:sz="0" w:space="0" w:color="auto"/>
        <w:left w:val="none" w:sz="0" w:space="0" w:color="auto"/>
        <w:bottom w:val="none" w:sz="0" w:space="0" w:color="auto"/>
        <w:right w:val="none" w:sz="0" w:space="0" w:color="auto"/>
      </w:divBdr>
    </w:div>
    <w:div w:id="1046904351">
      <w:bodyDiv w:val="1"/>
      <w:marLeft w:val="0"/>
      <w:marRight w:val="0"/>
      <w:marTop w:val="0"/>
      <w:marBottom w:val="0"/>
      <w:divBdr>
        <w:top w:val="none" w:sz="0" w:space="0" w:color="auto"/>
        <w:left w:val="none" w:sz="0" w:space="0" w:color="auto"/>
        <w:bottom w:val="none" w:sz="0" w:space="0" w:color="auto"/>
        <w:right w:val="none" w:sz="0" w:space="0" w:color="auto"/>
      </w:divBdr>
    </w:div>
    <w:div w:id="1107118878">
      <w:bodyDiv w:val="1"/>
      <w:marLeft w:val="0"/>
      <w:marRight w:val="0"/>
      <w:marTop w:val="0"/>
      <w:marBottom w:val="0"/>
      <w:divBdr>
        <w:top w:val="none" w:sz="0" w:space="0" w:color="auto"/>
        <w:left w:val="none" w:sz="0" w:space="0" w:color="auto"/>
        <w:bottom w:val="none" w:sz="0" w:space="0" w:color="auto"/>
        <w:right w:val="none" w:sz="0" w:space="0" w:color="auto"/>
      </w:divBdr>
      <w:divsChild>
        <w:div w:id="899443764">
          <w:marLeft w:val="0"/>
          <w:marRight w:val="0"/>
          <w:marTop w:val="0"/>
          <w:marBottom w:val="0"/>
          <w:divBdr>
            <w:top w:val="none" w:sz="0" w:space="0" w:color="auto"/>
            <w:left w:val="none" w:sz="0" w:space="0" w:color="auto"/>
            <w:bottom w:val="none" w:sz="0" w:space="0" w:color="auto"/>
            <w:right w:val="none" w:sz="0" w:space="0" w:color="auto"/>
          </w:divBdr>
        </w:div>
      </w:divsChild>
    </w:div>
    <w:div w:id="1195343753">
      <w:bodyDiv w:val="1"/>
      <w:marLeft w:val="0"/>
      <w:marRight w:val="0"/>
      <w:marTop w:val="0"/>
      <w:marBottom w:val="0"/>
      <w:divBdr>
        <w:top w:val="none" w:sz="0" w:space="0" w:color="auto"/>
        <w:left w:val="none" w:sz="0" w:space="0" w:color="auto"/>
        <w:bottom w:val="none" w:sz="0" w:space="0" w:color="auto"/>
        <w:right w:val="none" w:sz="0" w:space="0" w:color="auto"/>
      </w:divBdr>
    </w:div>
    <w:div w:id="1355425016">
      <w:bodyDiv w:val="1"/>
      <w:marLeft w:val="0"/>
      <w:marRight w:val="0"/>
      <w:marTop w:val="0"/>
      <w:marBottom w:val="0"/>
      <w:divBdr>
        <w:top w:val="none" w:sz="0" w:space="0" w:color="auto"/>
        <w:left w:val="none" w:sz="0" w:space="0" w:color="auto"/>
        <w:bottom w:val="none" w:sz="0" w:space="0" w:color="auto"/>
        <w:right w:val="none" w:sz="0" w:space="0" w:color="auto"/>
      </w:divBdr>
      <w:divsChild>
        <w:div w:id="1394814639">
          <w:marLeft w:val="0"/>
          <w:marRight w:val="0"/>
          <w:marTop w:val="0"/>
          <w:marBottom w:val="0"/>
          <w:divBdr>
            <w:top w:val="none" w:sz="0" w:space="0" w:color="auto"/>
            <w:left w:val="none" w:sz="0" w:space="0" w:color="auto"/>
            <w:bottom w:val="none" w:sz="0" w:space="0" w:color="auto"/>
            <w:right w:val="none" w:sz="0" w:space="0" w:color="auto"/>
          </w:divBdr>
        </w:div>
        <w:div w:id="234828154">
          <w:marLeft w:val="0"/>
          <w:marRight w:val="0"/>
          <w:marTop w:val="0"/>
          <w:marBottom w:val="0"/>
          <w:divBdr>
            <w:top w:val="none" w:sz="0" w:space="0" w:color="auto"/>
            <w:left w:val="none" w:sz="0" w:space="0" w:color="auto"/>
            <w:bottom w:val="none" w:sz="0" w:space="0" w:color="auto"/>
            <w:right w:val="none" w:sz="0" w:space="0" w:color="auto"/>
          </w:divBdr>
        </w:div>
        <w:div w:id="865407337">
          <w:marLeft w:val="0"/>
          <w:marRight w:val="0"/>
          <w:marTop w:val="0"/>
          <w:marBottom w:val="0"/>
          <w:divBdr>
            <w:top w:val="none" w:sz="0" w:space="0" w:color="auto"/>
            <w:left w:val="none" w:sz="0" w:space="0" w:color="auto"/>
            <w:bottom w:val="none" w:sz="0" w:space="0" w:color="auto"/>
            <w:right w:val="none" w:sz="0" w:space="0" w:color="auto"/>
          </w:divBdr>
        </w:div>
        <w:div w:id="147329900">
          <w:marLeft w:val="0"/>
          <w:marRight w:val="0"/>
          <w:marTop w:val="0"/>
          <w:marBottom w:val="0"/>
          <w:divBdr>
            <w:top w:val="none" w:sz="0" w:space="0" w:color="auto"/>
            <w:left w:val="none" w:sz="0" w:space="0" w:color="auto"/>
            <w:bottom w:val="none" w:sz="0" w:space="0" w:color="auto"/>
            <w:right w:val="none" w:sz="0" w:space="0" w:color="auto"/>
          </w:divBdr>
        </w:div>
        <w:div w:id="490564011">
          <w:marLeft w:val="0"/>
          <w:marRight w:val="0"/>
          <w:marTop w:val="0"/>
          <w:marBottom w:val="0"/>
          <w:divBdr>
            <w:top w:val="none" w:sz="0" w:space="0" w:color="auto"/>
            <w:left w:val="none" w:sz="0" w:space="0" w:color="auto"/>
            <w:bottom w:val="none" w:sz="0" w:space="0" w:color="auto"/>
            <w:right w:val="none" w:sz="0" w:space="0" w:color="auto"/>
          </w:divBdr>
        </w:div>
        <w:div w:id="1559126231">
          <w:marLeft w:val="0"/>
          <w:marRight w:val="0"/>
          <w:marTop w:val="0"/>
          <w:marBottom w:val="0"/>
          <w:divBdr>
            <w:top w:val="none" w:sz="0" w:space="0" w:color="auto"/>
            <w:left w:val="none" w:sz="0" w:space="0" w:color="auto"/>
            <w:bottom w:val="none" w:sz="0" w:space="0" w:color="auto"/>
            <w:right w:val="none" w:sz="0" w:space="0" w:color="auto"/>
          </w:divBdr>
        </w:div>
        <w:div w:id="735711651">
          <w:marLeft w:val="0"/>
          <w:marRight w:val="0"/>
          <w:marTop w:val="0"/>
          <w:marBottom w:val="0"/>
          <w:divBdr>
            <w:top w:val="none" w:sz="0" w:space="0" w:color="auto"/>
            <w:left w:val="none" w:sz="0" w:space="0" w:color="auto"/>
            <w:bottom w:val="none" w:sz="0" w:space="0" w:color="auto"/>
            <w:right w:val="none" w:sz="0" w:space="0" w:color="auto"/>
          </w:divBdr>
        </w:div>
        <w:div w:id="717899963">
          <w:marLeft w:val="0"/>
          <w:marRight w:val="0"/>
          <w:marTop w:val="0"/>
          <w:marBottom w:val="0"/>
          <w:divBdr>
            <w:top w:val="none" w:sz="0" w:space="0" w:color="auto"/>
            <w:left w:val="none" w:sz="0" w:space="0" w:color="auto"/>
            <w:bottom w:val="none" w:sz="0" w:space="0" w:color="auto"/>
            <w:right w:val="none" w:sz="0" w:space="0" w:color="auto"/>
          </w:divBdr>
        </w:div>
        <w:div w:id="1391271470">
          <w:marLeft w:val="0"/>
          <w:marRight w:val="0"/>
          <w:marTop w:val="0"/>
          <w:marBottom w:val="0"/>
          <w:divBdr>
            <w:top w:val="none" w:sz="0" w:space="0" w:color="auto"/>
            <w:left w:val="none" w:sz="0" w:space="0" w:color="auto"/>
            <w:bottom w:val="none" w:sz="0" w:space="0" w:color="auto"/>
            <w:right w:val="none" w:sz="0" w:space="0" w:color="auto"/>
          </w:divBdr>
        </w:div>
        <w:div w:id="1429809181">
          <w:marLeft w:val="0"/>
          <w:marRight w:val="0"/>
          <w:marTop w:val="0"/>
          <w:marBottom w:val="0"/>
          <w:divBdr>
            <w:top w:val="none" w:sz="0" w:space="0" w:color="auto"/>
            <w:left w:val="none" w:sz="0" w:space="0" w:color="auto"/>
            <w:bottom w:val="none" w:sz="0" w:space="0" w:color="auto"/>
            <w:right w:val="none" w:sz="0" w:space="0" w:color="auto"/>
          </w:divBdr>
        </w:div>
        <w:div w:id="1897275788">
          <w:marLeft w:val="0"/>
          <w:marRight w:val="0"/>
          <w:marTop w:val="0"/>
          <w:marBottom w:val="0"/>
          <w:divBdr>
            <w:top w:val="none" w:sz="0" w:space="0" w:color="auto"/>
            <w:left w:val="none" w:sz="0" w:space="0" w:color="auto"/>
            <w:bottom w:val="none" w:sz="0" w:space="0" w:color="auto"/>
            <w:right w:val="none" w:sz="0" w:space="0" w:color="auto"/>
          </w:divBdr>
        </w:div>
        <w:div w:id="21903400">
          <w:marLeft w:val="0"/>
          <w:marRight w:val="0"/>
          <w:marTop w:val="0"/>
          <w:marBottom w:val="0"/>
          <w:divBdr>
            <w:top w:val="none" w:sz="0" w:space="0" w:color="auto"/>
            <w:left w:val="none" w:sz="0" w:space="0" w:color="auto"/>
            <w:bottom w:val="none" w:sz="0" w:space="0" w:color="auto"/>
            <w:right w:val="none" w:sz="0" w:space="0" w:color="auto"/>
          </w:divBdr>
        </w:div>
        <w:div w:id="1882551341">
          <w:marLeft w:val="0"/>
          <w:marRight w:val="0"/>
          <w:marTop w:val="0"/>
          <w:marBottom w:val="0"/>
          <w:divBdr>
            <w:top w:val="none" w:sz="0" w:space="0" w:color="auto"/>
            <w:left w:val="none" w:sz="0" w:space="0" w:color="auto"/>
            <w:bottom w:val="none" w:sz="0" w:space="0" w:color="auto"/>
            <w:right w:val="none" w:sz="0" w:space="0" w:color="auto"/>
          </w:divBdr>
        </w:div>
        <w:div w:id="242296631">
          <w:marLeft w:val="0"/>
          <w:marRight w:val="0"/>
          <w:marTop w:val="0"/>
          <w:marBottom w:val="0"/>
          <w:divBdr>
            <w:top w:val="none" w:sz="0" w:space="0" w:color="auto"/>
            <w:left w:val="none" w:sz="0" w:space="0" w:color="auto"/>
            <w:bottom w:val="none" w:sz="0" w:space="0" w:color="auto"/>
            <w:right w:val="none" w:sz="0" w:space="0" w:color="auto"/>
          </w:divBdr>
        </w:div>
        <w:div w:id="1909730340">
          <w:marLeft w:val="0"/>
          <w:marRight w:val="0"/>
          <w:marTop w:val="0"/>
          <w:marBottom w:val="0"/>
          <w:divBdr>
            <w:top w:val="none" w:sz="0" w:space="0" w:color="auto"/>
            <w:left w:val="none" w:sz="0" w:space="0" w:color="auto"/>
            <w:bottom w:val="none" w:sz="0" w:space="0" w:color="auto"/>
            <w:right w:val="none" w:sz="0" w:space="0" w:color="auto"/>
          </w:divBdr>
        </w:div>
        <w:div w:id="1946228869">
          <w:marLeft w:val="0"/>
          <w:marRight w:val="0"/>
          <w:marTop w:val="0"/>
          <w:marBottom w:val="0"/>
          <w:divBdr>
            <w:top w:val="none" w:sz="0" w:space="0" w:color="auto"/>
            <w:left w:val="none" w:sz="0" w:space="0" w:color="auto"/>
            <w:bottom w:val="none" w:sz="0" w:space="0" w:color="auto"/>
            <w:right w:val="none" w:sz="0" w:space="0" w:color="auto"/>
          </w:divBdr>
        </w:div>
        <w:div w:id="1021931050">
          <w:marLeft w:val="0"/>
          <w:marRight w:val="0"/>
          <w:marTop w:val="0"/>
          <w:marBottom w:val="0"/>
          <w:divBdr>
            <w:top w:val="none" w:sz="0" w:space="0" w:color="auto"/>
            <w:left w:val="none" w:sz="0" w:space="0" w:color="auto"/>
            <w:bottom w:val="none" w:sz="0" w:space="0" w:color="auto"/>
            <w:right w:val="none" w:sz="0" w:space="0" w:color="auto"/>
          </w:divBdr>
        </w:div>
        <w:div w:id="1994403930">
          <w:marLeft w:val="0"/>
          <w:marRight w:val="0"/>
          <w:marTop w:val="0"/>
          <w:marBottom w:val="0"/>
          <w:divBdr>
            <w:top w:val="none" w:sz="0" w:space="0" w:color="auto"/>
            <w:left w:val="none" w:sz="0" w:space="0" w:color="auto"/>
            <w:bottom w:val="none" w:sz="0" w:space="0" w:color="auto"/>
            <w:right w:val="none" w:sz="0" w:space="0" w:color="auto"/>
          </w:divBdr>
        </w:div>
        <w:div w:id="234633699">
          <w:marLeft w:val="0"/>
          <w:marRight w:val="0"/>
          <w:marTop w:val="0"/>
          <w:marBottom w:val="0"/>
          <w:divBdr>
            <w:top w:val="none" w:sz="0" w:space="0" w:color="auto"/>
            <w:left w:val="none" w:sz="0" w:space="0" w:color="auto"/>
            <w:bottom w:val="none" w:sz="0" w:space="0" w:color="auto"/>
            <w:right w:val="none" w:sz="0" w:space="0" w:color="auto"/>
          </w:divBdr>
        </w:div>
        <w:div w:id="1678924587">
          <w:marLeft w:val="0"/>
          <w:marRight w:val="0"/>
          <w:marTop w:val="0"/>
          <w:marBottom w:val="0"/>
          <w:divBdr>
            <w:top w:val="none" w:sz="0" w:space="0" w:color="auto"/>
            <w:left w:val="none" w:sz="0" w:space="0" w:color="auto"/>
            <w:bottom w:val="none" w:sz="0" w:space="0" w:color="auto"/>
            <w:right w:val="none" w:sz="0" w:space="0" w:color="auto"/>
          </w:divBdr>
        </w:div>
        <w:div w:id="856189119">
          <w:marLeft w:val="0"/>
          <w:marRight w:val="0"/>
          <w:marTop w:val="0"/>
          <w:marBottom w:val="0"/>
          <w:divBdr>
            <w:top w:val="none" w:sz="0" w:space="0" w:color="auto"/>
            <w:left w:val="none" w:sz="0" w:space="0" w:color="auto"/>
            <w:bottom w:val="none" w:sz="0" w:space="0" w:color="auto"/>
            <w:right w:val="none" w:sz="0" w:space="0" w:color="auto"/>
          </w:divBdr>
        </w:div>
        <w:div w:id="375857976">
          <w:marLeft w:val="0"/>
          <w:marRight w:val="0"/>
          <w:marTop w:val="0"/>
          <w:marBottom w:val="0"/>
          <w:divBdr>
            <w:top w:val="none" w:sz="0" w:space="0" w:color="auto"/>
            <w:left w:val="none" w:sz="0" w:space="0" w:color="auto"/>
            <w:bottom w:val="none" w:sz="0" w:space="0" w:color="auto"/>
            <w:right w:val="none" w:sz="0" w:space="0" w:color="auto"/>
          </w:divBdr>
        </w:div>
        <w:div w:id="814298314">
          <w:marLeft w:val="0"/>
          <w:marRight w:val="0"/>
          <w:marTop w:val="0"/>
          <w:marBottom w:val="0"/>
          <w:divBdr>
            <w:top w:val="none" w:sz="0" w:space="0" w:color="auto"/>
            <w:left w:val="none" w:sz="0" w:space="0" w:color="auto"/>
            <w:bottom w:val="none" w:sz="0" w:space="0" w:color="auto"/>
            <w:right w:val="none" w:sz="0" w:space="0" w:color="auto"/>
          </w:divBdr>
        </w:div>
        <w:div w:id="1037122943">
          <w:marLeft w:val="0"/>
          <w:marRight w:val="0"/>
          <w:marTop w:val="0"/>
          <w:marBottom w:val="0"/>
          <w:divBdr>
            <w:top w:val="none" w:sz="0" w:space="0" w:color="auto"/>
            <w:left w:val="none" w:sz="0" w:space="0" w:color="auto"/>
            <w:bottom w:val="none" w:sz="0" w:space="0" w:color="auto"/>
            <w:right w:val="none" w:sz="0" w:space="0" w:color="auto"/>
          </w:divBdr>
        </w:div>
        <w:div w:id="1388147483">
          <w:marLeft w:val="0"/>
          <w:marRight w:val="0"/>
          <w:marTop w:val="0"/>
          <w:marBottom w:val="0"/>
          <w:divBdr>
            <w:top w:val="none" w:sz="0" w:space="0" w:color="auto"/>
            <w:left w:val="none" w:sz="0" w:space="0" w:color="auto"/>
            <w:bottom w:val="none" w:sz="0" w:space="0" w:color="auto"/>
            <w:right w:val="none" w:sz="0" w:space="0" w:color="auto"/>
          </w:divBdr>
        </w:div>
        <w:div w:id="143859373">
          <w:marLeft w:val="0"/>
          <w:marRight w:val="0"/>
          <w:marTop w:val="0"/>
          <w:marBottom w:val="0"/>
          <w:divBdr>
            <w:top w:val="none" w:sz="0" w:space="0" w:color="auto"/>
            <w:left w:val="none" w:sz="0" w:space="0" w:color="auto"/>
            <w:bottom w:val="none" w:sz="0" w:space="0" w:color="auto"/>
            <w:right w:val="none" w:sz="0" w:space="0" w:color="auto"/>
          </w:divBdr>
        </w:div>
        <w:div w:id="1600064511">
          <w:marLeft w:val="0"/>
          <w:marRight w:val="0"/>
          <w:marTop w:val="0"/>
          <w:marBottom w:val="0"/>
          <w:divBdr>
            <w:top w:val="none" w:sz="0" w:space="0" w:color="auto"/>
            <w:left w:val="none" w:sz="0" w:space="0" w:color="auto"/>
            <w:bottom w:val="none" w:sz="0" w:space="0" w:color="auto"/>
            <w:right w:val="none" w:sz="0" w:space="0" w:color="auto"/>
          </w:divBdr>
        </w:div>
        <w:div w:id="1025717132">
          <w:marLeft w:val="0"/>
          <w:marRight w:val="0"/>
          <w:marTop w:val="0"/>
          <w:marBottom w:val="0"/>
          <w:divBdr>
            <w:top w:val="none" w:sz="0" w:space="0" w:color="auto"/>
            <w:left w:val="none" w:sz="0" w:space="0" w:color="auto"/>
            <w:bottom w:val="none" w:sz="0" w:space="0" w:color="auto"/>
            <w:right w:val="none" w:sz="0" w:space="0" w:color="auto"/>
          </w:divBdr>
        </w:div>
        <w:div w:id="420490038">
          <w:marLeft w:val="0"/>
          <w:marRight w:val="0"/>
          <w:marTop w:val="0"/>
          <w:marBottom w:val="0"/>
          <w:divBdr>
            <w:top w:val="none" w:sz="0" w:space="0" w:color="auto"/>
            <w:left w:val="none" w:sz="0" w:space="0" w:color="auto"/>
            <w:bottom w:val="none" w:sz="0" w:space="0" w:color="auto"/>
            <w:right w:val="none" w:sz="0" w:space="0" w:color="auto"/>
          </w:divBdr>
        </w:div>
        <w:div w:id="972947828">
          <w:marLeft w:val="0"/>
          <w:marRight w:val="0"/>
          <w:marTop w:val="0"/>
          <w:marBottom w:val="0"/>
          <w:divBdr>
            <w:top w:val="none" w:sz="0" w:space="0" w:color="auto"/>
            <w:left w:val="none" w:sz="0" w:space="0" w:color="auto"/>
            <w:bottom w:val="none" w:sz="0" w:space="0" w:color="auto"/>
            <w:right w:val="none" w:sz="0" w:space="0" w:color="auto"/>
          </w:divBdr>
        </w:div>
      </w:divsChild>
    </w:div>
    <w:div w:id="1366633165">
      <w:bodyDiv w:val="1"/>
      <w:marLeft w:val="0"/>
      <w:marRight w:val="0"/>
      <w:marTop w:val="0"/>
      <w:marBottom w:val="0"/>
      <w:divBdr>
        <w:top w:val="none" w:sz="0" w:space="0" w:color="auto"/>
        <w:left w:val="none" w:sz="0" w:space="0" w:color="auto"/>
        <w:bottom w:val="none" w:sz="0" w:space="0" w:color="auto"/>
        <w:right w:val="none" w:sz="0" w:space="0" w:color="auto"/>
      </w:divBdr>
    </w:div>
    <w:div w:id="1681735128">
      <w:bodyDiv w:val="1"/>
      <w:marLeft w:val="0"/>
      <w:marRight w:val="0"/>
      <w:marTop w:val="0"/>
      <w:marBottom w:val="0"/>
      <w:divBdr>
        <w:top w:val="none" w:sz="0" w:space="0" w:color="auto"/>
        <w:left w:val="none" w:sz="0" w:space="0" w:color="auto"/>
        <w:bottom w:val="none" w:sz="0" w:space="0" w:color="auto"/>
        <w:right w:val="none" w:sz="0" w:space="0" w:color="auto"/>
      </w:divBdr>
    </w:div>
    <w:div w:id="1782723487">
      <w:bodyDiv w:val="1"/>
      <w:marLeft w:val="0"/>
      <w:marRight w:val="0"/>
      <w:marTop w:val="0"/>
      <w:marBottom w:val="0"/>
      <w:divBdr>
        <w:top w:val="none" w:sz="0" w:space="0" w:color="auto"/>
        <w:left w:val="none" w:sz="0" w:space="0" w:color="auto"/>
        <w:bottom w:val="none" w:sz="0" w:space="0" w:color="auto"/>
        <w:right w:val="none" w:sz="0" w:space="0" w:color="auto"/>
      </w:divBdr>
      <w:divsChild>
        <w:div w:id="958419746">
          <w:marLeft w:val="0"/>
          <w:marRight w:val="0"/>
          <w:marTop w:val="0"/>
          <w:marBottom w:val="0"/>
          <w:divBdr>
            <w:top w:val="none" w:sz="0" w:space="0" w:color="auto"/>
            <w:left w:val="none" w:sz="0" w:space="0" w:color="auto"/>
            <w:bottom w:val="none" w:sz="0" w:space="0" w:color="auto"/>
            <w:right w:val="none" w:sz="0" w:space="0" w:color="auto"/>
          </w:divBdr>
        </w:div>
      </w:divsChild>
    </w:div>
    <w:div w:id="1819611300">
      <w:bodyDiv w:val="1"/>
      <w:marLeft w:val="0"/>
      <w:marRight w:val="0"/>
      <w:marTop w:val="0"/>
      <w:marBottom w:val="0"/>
      <w:divBdr>
        <w:top w:val="none" w:sz="0" w:space="0" w:color="auto"/>
        <w:left w:val="none" w:sz="0" w:space="0" w:color="auto"/>
        <w:bottom w:val="none" w:sz="0" w:space="0" w:color="auto"/>
        <w:right w:val="none" w:sz="0" w:space="0" w:color="auto"/>
      </w:divBdr>
      <w:divsChild>
        <w:div w:id="1095322589">
          <w:marLeft w:val="0"/>
          <w:marRight w:val="0"/>
          <w:marTop w:val="0"/>
          <w:marBottom w:val="0"/>
          <w:divBdr>
            <w:top w:val="none" w:sz="0" w:space="0" w:color="auto"/>
            <w:left w:val="none" w:sz="0" w:space="0" w:color="auto"/>
            <w:bottom w:val="none" w:sz="0" w:space="0" w:color="auto"/>
            <w:right w:val="none" w:sz="0" w:space="0" w:color="auto"/>
          </w:divBdr>
        </w:div>
      </w:divsChild>
    </w:div>
    <w:div w:id="1869096652">
      <w:bodyDiv w:val="1"/>
      <w:marLeft w:val="0"/>
      <w:marRight w:val="0"/>
      <w:marTop w:val="0"/>
      <w:marBottom w:val="0"/>
      <w:divBdr>
        <w:top w:val="none" w:sz="0" w:space="0" w:color="auto"/>
        <w:left w:val="none" w:sz="0" w:space="0" w:color="auto"/>
        <w:bottom w:val="none" w:sz="0" w:space="0" w:color="auto"/>
        <w:right w:val="none" w:sz="0" w:space="0" w:color="auto"/>
      </w:divBdr>
      <w:divsChild>
        <w:div w:id="1841043427">
          <w:marLeft w:val="0"/>
          <w:marRight w:val="0"/>
          <w:marTop w:val="0"/>
          <w:marBottom w:val="0"/>
          <w:divBdr>
            <w:top w:val="none" w:sz="0" w:space="0" w:color="auto"/>
            <w:left w:val="none" w:sz="0" w:space="0" w:color="auto"/>
            <w:bottom w:val="none" w:sz="0" w:space="0" w:color="auto"/>
            <w:right w:val="none" w:sz="0" w:space="0" w:color="auto"/>
          </w:divBdr>
        </w:div>
      </w:divsChild>
    </w:div>
    <w:div w:id="2001422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s>
</file>

<file path=word/charts/_rels/chart1.xml.rels><?xml version="1.0" encoding="UTF-8" standalone="yes"?>
<Relationships xmlns="http://schemas.openxmlformats.org/package/2006/relationships"><Relationship Id="rId1" Type="http://schemas.openxmlformats.org/officeDocument/2006/relationships/oleObject" Target="file:///I:\&#24180;&#24230;&#25253;&#21578;\2021&#24180;\&#22270;&#29255;&#25968;&#25454;.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___11111111111.xlsx"/></Relationships>
</file>

<file path=word/charts/_rels/chart3.xml.rels><?xml version="1.0" encoding="UTF-8" standalone="yes"?>
<Relationships xmlns="http://schemas.openxmlformats.org/package/2006/relationships"><Relationship Id="rId1" Type="http://schemas.openxmlformats.org/officeDocument/2006/relationships/oleObject" Target="file:///I:\&#24180;&#24230;&#25253;&#21578;\2021&#24180;\&#22270;&#29255;&#25968;&#2545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I:\&#24180;&#24230;&#25253;&#21578;\2021&#24180;\&#22270;&#29255;&#25968;&#2545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I:\&#24180;&#24230;&#25253;&#21578;\2021&#24180;\&#22270;&#29255;&#25968;&#2545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I:\&#24180;&#24230;&#25253;&#21578;\2021&#24180;\&#22270;&#29255;&#25968;&#25454;.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I:\&#24180;&#24230;&#25253;&#21578;\2021&#24180;\&#22270;&#29255;&#25968;&#25454;.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I:\&#24180;&#24230;&#25253;&#21578;\2021&#24180;\&#22270;&#29255;&#25968;&#2545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manualLayout>
          <c:layoutTarget val="inner"/>
          <c:xMode val="edge"/>
          <c:yMode val="edge"/>
          <c:x val="9.0400148579558526E-2"/>
          <c:y val="2.8410240619364448E-2"/>
          <c:w val="0.87399682516321064"/>
          <c:h val="0.79709783134650913"/>
        </c:manualLayout>
      </c:layout>
      <c:lineChart>
        <c:grouping val="standard"/>
        <c:ser>
          <c:idx val="0"/>
          <c:order val="0"/>
          <c:tx>
            <c:strRef>
              <c:f>Sheet1!$B$1</c:f>
              <c:strCache>
                <c:ptCount val="1"/>
              </c:strCache>
            </c:strRef>
          </c:tx>
          <c:dLbls>
            <c:dLblPos val="t"/>
            <c:showVal val="1"/>
          </c:dLbls>
          <c:cat>
            <c:numRef>
              <c:f>Sheet1!$A$2:$A$15</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Sheet1!$B$2:$B$15</c:f>
              <c:numCache>
                <c:formatCode>General</c:formatCode>
                <c:ptCount val="14"/>
                <c:pt idx="0">
                  <c:v>98</c:v>
                </c:pt>
                <c:pt idx="1">
                  <c:v>302</c:v>
                </c:pt>
                <c:pt idx="2">
                  <c:v>916</c:v>
                </c:pt>
                <c:pt idx="3">
                  <c:v>1301</c:v>
                </c:pt>
                <c:pt idx="4">
                  <c:v>2904</c:v>
                </c:pt>
                <c:pt idx="5">
                  <c:v>5029</c:v>
                </c:pt>
                <c:pt idx="6">
                  <c:v>4931</c:v>
                </c:pt>
                <c:pt idx="7">
                  <c:v>5687</c:v>
                </c:pt>
                <c:pt idx="8">
                  <c:v>8696</c:v>
                </c:pt>
                <c:pt idx="9">
                  <c:v>9590</c:v>
                </c:pt>
                <c:pt idx="10">
                  <c:v>9719</c:v>
                </c:pt>
                <c:pt idx="11">
                  <c:v>9059</c:v>
                </c:pt>
                <c:pt idx="12">
                  <c:v>10549</c:v>
                </c:pt>
                <c:pt idx="13">
                  <c:v>11298</c:v>
                </c:pt>
              </c:numCache>
            </c:numRef>
          </c:val>
        </c:ser>
        <c:dLbls>
          <c:showVal val="1"/>
        </c:dLbls>
        <c:marker val="1"/>
        <c:axId val="238608384"/>
        <c:axId val="238609920"/>
      </c:lineChart>
      <c:catAx>
        <c:axId val="238608384"/>
        <c:scaling>
          <c:orientation val="minMax"/>
        </c:scaling>
        <c:axPos val="b"/>
        <c:numFmt formatCode="General" sourceLinked="1"/>
        <c:tickLblPos val="nextTo"/>
        <c:crossAx val="238609920"/>
        <c:crosses val="autoZero"/>
        <c:auto val="1"/>
        <c:lblAlgn val="ctr"/>
        <c:lblOffset val="100"/>
      </c:catAx>
      <c:valAx>
        <c:axId val="238609920"/>
        <c:scaling>
          <c:orientation val="minMax"/>
        </c:scaling>
        <c:axPos val="l"/>
        <c:majorGridlines/>
        <c:numFmt formatCode="General" sourceLinked="1"/>
        <c:tickLblPos val="nextTo"/>
        <c:crossAx val="238608384"/>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plotArea>
      <c:layout/>
      <c:barChart>
        <c:barDir val="col"/>
        <c:grouping val="clustered"/>
        <c:ser>
          <c:idx val="0"/>
          <c:order val="0"/>
          <c:tx>
            <c:strRef>
              <c:f>Sheet1!$B$1</c:f>
              <c:strCache>
                <c:ptCount val="1"/>
                <c:pt idx="0">
                  <c:v>系列 1</c:v>
                </c:pt>
              </c:strCache>
            </c:strRef>
          </c:tx>
          <c:cat>
            <c:numRef>
              <c:f>Sheet1!$A$2:$A$15</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Sheet1!$B$2:$B$15</c:f>
              <c:numCache>
                <c:formatCode>General</c:formatCode>
                <c:ptCount val="14"/>
                <c:pt idx="0">
                  <c:v>3</c:v>
                </c:pt>
                <c:pt idx="1">
                  <c:v>9</c:v>
                </c:pt>
                <c:pt idx="2">
                  <c:v>28</c:v>
                </c:pt>
                <c:pt idx="3">
                  <c:v>39</c:v>
                </c:pt>
                <c:pt idx="4">
                  <c:v>87</c:v>
                </c:pt>
                <c:pt idx="5">
                  <c:v>150</c:v>
                </c:pt>
                <c:pt idx="6">
                  <c:v>146</c:v>
                </c:pt>
                <c:pt idx="7">
                  <c:v>169</c:v>
                </c:pt>
                <c:pt idx="8">
                  <c:v>256</c:v>
                </c:pt>
                <c:pt idx="9">
                  <c:v>283</c:v>
                </c:pt>
                <c:pt idx="10">
                  <c:v>286</c:v>
                </c:pt>
                <c:pt idx="11">
                  <c:v>265</c:v>
                </c:pt>
                <c:pt idx="12">
                  <c:v>309</c:v>
                </c:pt>
                <c:pt idx="13">
                  <c:v>353</c:v>
                </c:pt>
              </c:numCache>
            </c:numRef>
          </c:val>
        </c:ser>
        <c:ser>
          <c:idx val="1"/>
          <c:order val="1"/>
          <c:tx>
            <c:strRef>
              <c:f>Sheet1!$C$1</c:f>
              <c:strCache>
                <c:ptCount val="1"/>
                <c:pt idx="0">
                  <c:v>列1</c:v>
                </c:pt>
              </c:strCache>
            </c:strRef>
          </c:tx>
          <c:cat>
            <c:numRef>
              <c:f>Sheet1!$A$2:$A$15</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Sheet1!$C$2:$C$15</c:f>
              <c:numCache>
                <c:formatCode>General</c:formatCode>
                <c:ptCount val="14"/>
              </c:numCache>
            </c:numRef>
          </c:val>
        </c:ser>
        <c:ser>
          <c:idx val="2"/>
          <c:order val="2"/>
          <c:tx>
            <c:strRef>
              <c:f>Sheet1!$D$1</c:f>
              <c:strCache>
                <c:ptCount val="1"/>
                <c:pt idx="0">
                  <c:v>列2</c:v>
                </c:pt>
              </c:strCache>
            </c:strRef>
          </c:tx>
          <c:cat>
            <c:numRef>
              <c:f>Sheet1!$A$2:$A$15</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Sheet1!$D$2:$D$15</c:f>
              <c:numCache>
                <c:formatCode>General</c:formatCode>
                <c:ptCount val="14"/>
              </c:numCache>
            </c:numRef>
          </c:val>
        </c:ser>
        <c:dLbls>
          <c:showVal val="1"/>
        </c:dLbls>
        <c:axId val="251107968"/>
        <c:axId val="251113856"/>
      </c:barChart>
      <c:catAx>
        <c:axId val="251107968"/>
        <c:scaling>
          <c:orientation val="minMax"/>
        </c:scaling>
        <c:axPos val="b"/>
        <c:numFmt formatCode="General" sourceLinked="1"/>
        <c:tickLblPos val="nextTo"/>
        <c:crossAx val="251113856"/>
        <c:crosses val="autoZero"/>
        <c:auto val="1"/>
        <c:lblAlgn val="ctr"/>
        <c:lblOffset val="100"/>
      </c:catAx>
      <c:valAx>
        <c:axId val="251113856"/>
        <c:scaling>
          <c:orientation val="minMax"/>
        </c:scaling>
        <c:axPos val="l"/>
        <c:majorGridlines/>
        <c:numFmt formatCode="General" sourceLinked="1"/>
        <c:tickLblPos val="nextTo"/>
        <c:crossAx val="251107968"/>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style val="3"/>
  <c:chart>
    <c:plotArea>
      <c:layout/>
      <c:pieChart>
        <c:varyColors val="1"/>
        <c:ser>
          <c:idx val="0"/>
          <c:order val="0"/>
          <c:dLbls>
            <c:numFmt formatCode="0.00%" sourceLinked="0"/>
            <c:dLblPos val="outEnd"/>
            <c:showVal val="1"/>
            <c:showPercent val="1"/>
            <c:showLeaderLines val="1"/>
          </c:dLbls>
          <c:cat>
            <c:strRef>
              <c:f>Sheet1!$A$35:$A$37</c:f>
              <c:strCache>
                <c:ptCount val="3"/>
                <c:pt idx="0">
                  <c:v>注册人</c:v>
                </c:pt>
                <c:pt idx="1">
                  <c:v>经营企业</c:v>
                </c:pt>
                <c:pt idx="2">
                  <c:v>使用单位</c:v>
                </c:pt>
              </c:strCache>
            </c:strRef>
          </c:cat>
          <c:val>
            <c:numRef>
              <c:f>Sheet1!$B$35:$B$37</c:f>
              <c:numCache>
                <c:formatCode>General</c:formatCode>
                <c:ptCount val="3"/>
                <c:pt idx="0">
                  <c:v>465</c:v>
                </c:pt>
                <c:pt idx="1">
                  <c:v>3808</c:v>
                </c:pt>
                <c:pt idx="2">
                  <c:v>2371</c:v>
                </c:pt>
              </c:numCache>
            </c:numRef>
          </c:val>
        </c:ser>
        <c:firstSliceAng val="0"/>
      </c:pieChart>
    </c:plotArea>
    <c:legend>
      <c:legendPos val="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style val="3"/>
  <c:chart>
    <c:view3D>
      <c:rotX val="30"/>
      <c:perspective val="30"/>
    </c:view3D>
    <c:plotArea>
      <c:layout>
        <c:manualLayout>
          <c:layoutTarget val="inner"/>
          <c:xMode val="edge"/>
          <c:yMode val="edge"/>
          <c:x val="8.4898512685914251E-2"/>
          <c:y val="0.10879629629629781"/>
          <c:w val="0.6608016185476947"/>
          <c:h val="0.77314814814815558"/>
        </c:manualLayout>
      </c:layout>
      <c:pie3DChart>
        <c:varyColors val="1"/>
        <c:ser>
          <c:idx val="0"/>
          <c:order val="0"/>
          <c:dLbls>
            <c:dLbl>
              <c:idx val="2"/>
              <c:layout>
                <c:manualLayout>
                  <c:x val="2.7777777777778408E-2"/>
                  <c:y val="0"/>
                </c:manualLayout>
              </c:layout>
              <c:dLblPos val="outEnd"/>
              <c:showVal val="1"/>
              <c:showPercent val="1"/>
            </c:dLbl>
            <c:numFmt formatCode="0.00%" sourceLinked="0"/>
            <c:dLblPos val="outEnd"/>
            <c:showVal val="1"/>
            <c:showPercent val="1"/>
            <c:showLeaderLines val="1"/>
          </c:dLbls>
          <c:cat>
            <c:strRef>
              <c:f>Sheet1!$A$53:$A$55</c:f>
              <c:strCache>
                <c:ptCount val="3"/>
                <c:pt idx="0">
                  <c:v>使用单位</c:v>
                </c:pt>
                <c:pt idx="1">
                  <c:v>经营企业</c:v>
                </c:pt>
                <c:pt idx="2">
                  <c:v>注册人</c:v>
                </c:pt>
              </c:strCache>
            </c:strRef>
          </c:cat>
          <c:val>
            <c:numRef>
              <c:f>Sheet1!$B$53:$B$55</c:f>
              <c:numCache>
                <c:formatCode>General</c:formatCode>
                <c:ptCount val="3"/>
                <c:pt idx="0">
                  <c:v>10249</c:v>
                </c:pt>
                <c:pt idx="1">
                  <c:v>1010</c:v>
                </c:pt>
                <c:pt idx="2">
                  <c:v>39</c:v>
                </c:pt>
              </c:numCache>
            </c:numRef>
          </c:val>
        </c:ser>
      </c:pie3DChart>
    </c:plotArea>
    <c:legend>
      <c:legendPos val="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style val="3"/>
  <c:chart>
    <c:autoTitleDeleted val="1"/>
    <c:plotArea>
      <c:layout/>
      <c:pieChart>
        <c:varyColors val="1"/>
        <c:ser>
          <c:idx val="0"/>
          <c:order val="0"/>
          <c:dLbls>
            <c:dLbl>
              <c:idx val="1"/>
              <c:layout>
                <c:manualLayout>
                  <c:x val="-7.1428571428571425E-2"/>
                  <c:y val="-5.144032921810697E-3"/>
                </c:manualLayout>
              </c:layout>
              <c:numFmt formatCode="0.00%" sourceLinked="0"/>
              <c:spPr/>
              <c:txPr>
                <a:bodyPr/>
                <a:lstStyle/>
                <a:p>
                  <a:pPr>
                    <a:defRPr/>
                  </a:pPr>
                  <a:endParaRPr lang="zh-CN"/>
                </a:p>
              </c:txPr>
              <c:dLblPos val="outEnd"/>
              <c:showVal val="1"/>
              <c:showPercent val="1"/>
            </c:dLbl>
            <c:dLbl>
              <c:idx val="2"/>
              <c:layout>
                <c:manualLayout>
                  <c:x val="8.3333333333333398E-2"/>
                  <c:y val="0"/>
                </c:manualLayout>
              </c:layout>
              <c:dLblPos val="outEnd"/>
              <c:showVal val="1"/>
              <c:showPercent val="1"/>
            </c:dLbl>
            <c:dLblPos val="outEnd"/>
            <c:showVal val="1"/>
            <c:showPercent val="1"/>
            <c:showLeaderLines val="1"/>
          </c:dLbls>
          <c:cat>
            <c:strRef>
              <c:f>Sheet1!$A$82:$A$84</c:f>
              <c:strCache>
                <c:ptCount val="3"/>
                <c:pt idx="0">
                  <c:v>其他</c:v>
                </c:pt>
                <c:pt idx="1">
                  <c:v>严重伤害</c:v>
                </c:pt>
                <c:pt idx="2">
                  <c:v>死亡</c:v>
                </c:pt>
              </c:strCache>
            </c:strRef>
          </c:cat>
          <c:val>
            <c:numRef>
              <c:f>Sheet1!$B$82:$B$84</c:f>
              <c:numCache>
                <c:formatCode>General</c:formatCode>
                <c:ptCount val="3"/>
                <c:pt idx="0">
                  <c:v>11271</c:v>
                </c:pt>
                <c:pt idx="1">
                  <c:v>26</c:v>
                </c:pt>
                <c:pt idx="2">
                  <c:v>1</c:v>
                </c:pt>
              </c:numCache>
            </c:numRef>
          </c:val>
        </c:ser>
        <c:dLbls>
          <c:showPercent val="1"/>
        </c:dLbls>
        <c:firstSliceAng val="0"/>
      </c:pieChart>
    </c:plotArea>
    <c:legend>
      <c:legendPos val="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zh-CN"/>
  <c:style val="3"/>
  <c:chart>
    <c:view3D>
      <c:rotX val="30"/>
      <c:perspective val="30"/>
    </c:view3D>
    <c:plotArea>
      <c:layout/>
      <c:pie3DChart>
        <c:varyColors val="1"/>
        <c:ser>
          <c:idx val="0"/>
          <c:order val="0"/>
          <c:dLbls>
            <c:dLbl>
              <c:idx val="2"/>
              <c:layout>
                <c:manualLayout>
                  <c:x val="2.2222222222222251E-2"/>
                  <c:y val="-4.6296296296296927E-3"/>
                </c:manualLayout>
              </c:layout>
              <c:dLblPos val="outEnd"/>
              <c:showVal val="1"/>
              <c:showPercent val="1"/>
            </c:dLbl>
            <c:dLbl>
              <c:idx val="3"/>
              <c:layout>
                <c:manualLayout>
                  <c:x val="6.9444444444444503E-2"/>
                  <c:y val="-1.8518518518518583E-2"/>
                </c:manualLayout>
              </c:layout>
              <c:dLblPos val="outEnd"/>
              <c:showVal val="1"/>
              <c:showPercent val="1"/>
            </c:dLbl>
            <c:numFmt formatCode="0.00%" sourceLinked="0"/>
            <c:dLblPos val="outEnd"/>
            <c:showVal val="1"/>
            <c:showPercent val="1"/>
            <c:showLeaderLines val="1"/>
          </c:dLbls>
          <c:cat>
            <c:strRef>
              <c:f>Sheet1!$A$93:$A$96</c:f>
              <c:strCache>
                <c:ptCount val="4"/>
                <c:pt idx="0">
                  <c:v>Ⅲ类</c:v>
                </c:pt>
                <c:pt idx="1">
                  <c:v>Ⅱ类</c:v>
                </c:pt>
                <c:pt idx="2">
                  <c:v>Ⅰ类</c:v>
                </c:pt>
                <c:pt idx="3">
                  <c:v>不详</c:v>
                </c:pt>
              </c:strCache>
            </c:strRef>
          </c:cat>
          <c:val>
            <c:numRef>
              <c:f>Sheet1!$B$93:$B$96</c:f>
              <c:numCache>
                <c:formatCode>General</c:formatCode>
                <c:ptCount val="4"/>
                <c:pt idx="0">
                  <c:v>4474</c:v>
                </c:pt>
                <c:pt idx="1">
                  <c:v>5494</c:v>
                </c:pt>
                <c:pt idx="2">
                  <c:v>786</c:v>
                </c:pt>
                <c:pt idx="3">
                  <c:v>544</c:v>
                </c:pt>
              </c:numCache>
            </c:numRef>
          </c:val>
        </c:ser>
      </c:pie3DChart>
    </c:plotArea>
    <c:legend>
      <c:legendPos val="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zh-CN"/>
  <c:style val="3"/>
  <c:chart>
    <c:plotArea>
      <c:layout/>
      <c:pieChart>
        <c:varyColors val="1"/>
        <c:ser>
          <c:idx val="0"/>
          <c:order val="0"/>
          <c:dLbls>
            <c:dLbl>
              <c:idx val="2"/>
              <c:layout>
                <c:manualLayout>
                  <c:x val="4.9346163335800917E-3"/>
                  <c:y val="2.2461461185276442E-2"/>
                </c:manualLayout>
              </c:layout>
              <c:dLblPos val="outEnd"/>
              <c:showVal val="1"/>
              <c:showPercent val="1"/>
            </c:dLbl>
            <c:dLbl>
              <c:idx val="3"/>
              <c:layout>
                <c:manualLayout>
                  <c:x val="4.4411547002220594E-2"/>
                  <c:y val="-1.3477088948787155E-2"/>
                </c:manualLayout>
              </c:layout>
              <c:dLblPos val="outEnd"/>
              <c:showVal val="1"/>
              <c:showPercent val="1"/>
            </c:dLbl>
            <c:numFmt formatCode="0.00%" sourceLinked="0"/>
            <c:dLblPos val="outEnd"/>
            <c:showVal val="1"/>
            <c:showPercent val="1"/>
            <c:showLeaderLines val="1"/>
          </c:dLbls>
          <c:cat>
            <c:strRef>
              <c:f>Sheet1!$A$117:$A$120</c:f>
              <c:strCache>
                <c:ptCount val="4"/>
                <c:pt idx="0">
                  <c:v>无源</c:v>
                </c:pt>
                <c:pt idx="1">
                  <c:v>有源</c:v>
                </c:pt>
                <c:pt idx="2">
                  <c:v>体外诊断试剂</c:v>
                </c:pt>
                <c:pt idx="3">
                  <c:v>未填写</c:v>
                </c:pt>
              </c:strCache>
            </c:strRef>
          </c:cat>
          <c:val>
            <c:numRef>
              <c:f>Sheet1!$B$117:$B$120</c:f>
              <c:numCache>
                <c:formatCode>General</c:formatCode>
                <c:ptCount val="4"/>
                <c:pt idx="0">
                  <c:v>8265</c:v>
                </c:pt>
                <c:pt idx="1">
                  <c:v>2396</c:v>
                </c:pt>
                <c:pt idx="2">
                  <c:v>93</c:v>
                </c:pt>
                <c:pt idx="3">
                  <c:v>544</c:v>
                </c:pt>
              </c:numCache>
            </c:numRef>
          </c:val>
        </c:ser>
        <c:dLbls>
          <c:showVal val="1"/>
        </c:dLbls>
        <c:firstSliceAng val="0"/>
      </c:pieChart>
    </c:plotArea>
    <c:legend>
      <c:legendPos val="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zh-CN"/>
  <c:chart>
    <c:plotArea>
      <c:layout/>
      <c:barChart>
        <c:barDir val="col"/>
        <c:grouping val="clustered"/>
        <c:ser>
          <c:idx val="0"/>
          <c:order val="0"/>
          <c:cat>
            <c:strRef>
              <c:f>Sheet1!$A$133:$A$135</c:f>
              <c:strCache>
                <c:ptCount val="3"/>
                <c:pt idx="0">
                  <c:v>医疗机构</c:v>
                </c:pt>
                <c:pt idx="1">
                  <c:v>家庭</c:v>
                </c:pt>
                <c:pt idx="2">
                  <c:v>其他</c:v>
                </c:pt>
              </c:strCache>
            </c:strRef>
          </c:cat>
          <c:val>
            <c:numRef>
              <c:f>Sheet1!$B$133:$B$135</c:f>
              <c:numCache>
                <c:formatCode>General</c:formatCode>
                <c:ptCount val="3"/>
                <c:pt idx="0">
                  <c:v>10374</c:v>
                </c:pt>
                <c:pt idx="1">
                  <c:v>595</c:v>
                </c:pt>
                <c:pt idx="2">
                  <c:v>329</c:v>
                </c:pt>
              </c:numCache>
            </c:numRef>
          </c:val>
        </c:ser>
        <c:dLbls>
          <c:showVal val="1"/>
        </c:dLbls>
        <c:axId val="251381632"/>
        <c:axId val="251383168"/>
      </c:barChart>
      <c:catAx>
        <c:axId val="251381632"/>
        <c:scaling>
          <c:orientation val="minMax"/>
        </c:scaling>
        <c:axPos val="b"/>
        <c:tickLblPos val="nextTo"/>
        <c:crossAx val="251383168"/>
        <c:crosses val="autoZero"/>
        <c:auto val="1"/>
        <c:lblAlgn val="ctr"/>
        <c:lblOffset val="100"/>
      </c:catAx>
      <c:valAx>
        <c:axId val="251383168"/>
        <c:scaling>
          <c:orientation val="minMax"/>
        </c:scaling>
        <c:axPos val="l"/>
        <c:majorGridlines/>
        <c:numFmt formatCode="General" sourceLinked="1"/>
        <c:tickLblPos val="nextTo"/>
        <c:crossAx val="251381632"/>
        <c:crosses val="autoZero"/>
        <c:crossBetween val="between"/>
      </c:valAx>
    </c:plotArea>
    <c:plotVisOnly val="1"/>
    <c:dispBlanksAs val="gap"/>
  </c:chart>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D40EAA-E110-4975-95F6-9E0C8E285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3518</TotalTime>
  <Pages>8</Pages>
  <Words>337</Words>
  <Characters>1922</Characters>
  <Application>Microsoft Office Word</Application>
  <DocSecurity>0</DocSecurity>
  <Lines>16</Lines>
  <Paragraphs>4</Paragraphs>
  <ScaleCrop>false</ScaleCrop>
  <Company>Microsoft</Company>
  <LinksUpToDate>false</LinksUpToDate>
  <CharactersWithSpaces>2255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周艳奇</dc:creator>
  <cp:keywords/>
  <dc:description/>
  <cp:lastModifiedBy>张琦</cp:lastModifiedBy>
  <cp:revision>717</cp:revision>
  <cp:lastPrinted>2022-03-09T04:00:00Z</cp:lastPrinted>
  <dcterms:created xsi:type="dcterms:W3CDTF">2022-02-15T01:38:00Z</dcterms:created>
  <dcterms:modified xsi:type="dcterms:W3CDTF">2022-06-16T08:38:00Z</dcterms:modified>
</cp:coreProperties>
</file>